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beb47cbac4afb" /></Relationships>
</file>

<file path=word/document.xml><?xml version="1.0" encoding="utf-8"?>
<w:document xmlns:w="http://schemas.openxmlformats.org/wordprocessingml/2006/main">
  <w:body>
    <w:p>
      <w:r>
        <w:t>H-1404.1</w:t>
      </w:r>
    </w:p>
    <w:p>
      <w:pPr>
        <w:jc w:val="center"/>
      </w:pPr>
      <w:r>
        <w:t>_______________________________________________</w:t>
      </w:r>
    </w:p>
    <w:p/>
    <w:p>
      <w:pPr>
        <w:jc w:val="center"/>
      </w:pPr>
      <w:r>
        <w:rPr>
          <w:b/>
        </w:rPr>
        <w:t>HOUSE BILL 1891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Taylor, Buys, Van Werven, Koster, Schmick, and Condotta</w:t>
      </w:r>
    </w:p>
    <w:p/>
    <w:p>
      <w:r>
        <w:rPr>
          <w:t xml:space="preserve">Read first time 02/02/17.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contributions to gubernatorial candidates by entities that collectively bargain with the state; amending RCW 42.17A.405;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special purpose district office if that district is authorized to provide freight and passenger transfer and terminal facilities and that district has over two hundred thousand registered voters;</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special purpose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eight hundred dollars if for a legislative office, county office, school board office, public hospital district office, or city office, or one thousand six hundred dollars if for a special purpose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w:t>
      </w:r>
      <w:r>
        <w:rPr>
          <w:u w:val="single"/>
        </w:rPr>
        <w:t xml:space="preserve">Notwithstanding the other provisions of this section, no entity that engages in collective bargaining as defined in RCW 41.56.030 with the office of the governor or its representatives may make contributions reportable under this chapter to any candidate for the office of governor, directly or indirectly.</w:t>
      </w:r>
    </w:p>
    <w:p>
      <w:pPr>
        <w:spacing w:before="0" w:after="0" w:line="408" w:lineRule="exact"/>
        <w:ind w:left="0" w:right="0" w:firstLine="576"/>
        <w:jc w:val="left"/>
      </w:pPr>
      <w:r>
        <w:rPr>
          <w:u w:val="single"/>
        </w:rPr>
        <w:t xml:space="preserve">(15)</w:t>
      </w:r>
      <w:r>
        <w:rPr/>
        <w:t xml:space="preserve"> No person may accept contributions that exceed the contribution limitations provided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4418582418f843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6c65d28474bdf" /><Relationship Type="http://schemas.openxmlformats.org/officeDocument/2006/relationships/footer" Target="/word/footer.xml" Id="R4418582418f843b6" /></Relationships>
</file>