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2d45b01524c52" /></Relationships>
</file>

<file path=word/document.xml><?xml version="1.0" encoding="utf-8"?>
<w:document xmlns:w="http://schemas.openxmlformats.org/wordprocessingml/2006/main">
  <w:body>
    <w:p>
      <w:r>
        <w:t>H-0878.2</w:t>
      </w:r>
    </w:p>
    <w:p>
      <w:pPr>
        <w:jc w:val="center"/>
      </w:pPr>
      <w:r>
        <w:t>_______________________________________________</w:t>
      </w:r>
    </w:p>
    <w:p/>
    <w:p>
      <w:pPr>
        <w:jc w:val="center"/>
      </w:pPr>
      <w:r>
        <w:rPr>
          <w:b/>
        </w:rPr>
        <w:t>HOUSE BILL 1892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Read first time 02/02/17.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taxation of amenities owned by homeowners' associations; adding a new section to chapter 82.08 RCW; adding a new section to chapter 82.12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in this act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permanent tax relief that corrects the structural inefficiencies regarding the taxation of homeowners' association members for the use of certain common areas that their association owns.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portion of the membership dues or fees paid by a member of a homeowners' association for access or admission to any common area owned and operated by the homeowners' association for golfing.</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"Common area" has the same meaning as provided in RCW 64.38.010, and does not include any area owned and operated wholly or partially by an association created under chapter 64.32 or 64.34 RCW.</w:t>
      </w:r>
    </w:p>
    <w:p>
      <w:pPr>
        <w:spacing w:before="0" w:after="0" w:line="408" w:lineRule="exact"/>
        <w:ind w:left="0" w:right="0" w:firstLine="576"/>
        <w:jc w:val="left"/>
      </w:pPr>
      <w:r>
        <w:rPr/>
        <w:t xml:space="preserve">(b) "Homeowners' association" or "association" has the same meaning as provided in RCW 64.38.010 and does not include an association created under chapter 64.32 or 64.34 RCW.</w:t>
      </w:r>
    </w:p>
    <w:p>
      <w:pPr>
        <w:spacing w:before="0" w:after="0" w:line="408" w:lineRule="exact"/>
        <w:ind w:left="0" w:right="0" w:firstLine="576"/>
        <w:jc w:val="left"/>
      </w:pPr>
      <w:r>
        <w:rPr/>
        <w:t xml:space="preserve">(c) "Member" means a member of a homeowners'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section do not apply to the portion of the membership dues or fees paid by a member of a homeowners' association for access or admission to any common area owned and operated by the homeowners' association for golfing.</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apply to the charges paid by members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72b0e0f293147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9a3653822489e" /><Relationship Type="http://schemas.openxmlformats.org/officeDocument/2006/relationships/footer" Target="/word/footer.xml" Id="Rb72b0e0f29314749" /></Relationships>
</file>