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bec59e42a43b8" /></Relationships>
</file>

<file path=word/document.xml><?xml version="1.0" encoding="utf-8"?>
<w:document xmlns:w="http://schemas.openxmlformats.org/wordprocessingml/2006/main">
  <w:body>
    <w:p>
      <w:r>
        <w:t>H-2384.1</w:t>
      </w:r>
    </w:p>
    <w:p>
      <w:pPr>
        <w:jc w:val="center"/>
      </w:pPr>
      <w:r>
        <w:t>_______________________________________________</w:t>
      </w:r>
    </w:p>
    <w:p/>
    <w:p>
      <w:pPr>
        <w:jc w:val="center"/>
      </w:pPr>
      <w:r>
        <w:rPr>
          <w:b/>
        </w:rPr>
        <w:t>SECOND SUBSTITUTE HOUSE BILL 1904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 Smith)</w:t>
      </w:r>
    </w:p>
    <w:p/>
    <w:p>
      <w:r>
        <w:rPr>
          <w:t xml:space="preserve">READ FIRST TIME 03/17/17.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taxation of Washingtonians' personal information and related data; amending RCW 82.04.050, 82.04.192, 82.04.2907, 82.04.460, 82.04.462, 82.08.0291, and 82.32.087;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update and adapt state tax policy to the forms of commerce that have emerged with </w:t>
      </w:r>
      <w:r>
        <w:rPr/>
        <w:t xml:space="preserve">new technologies. The legislature recognizes that consumers are increasingly conducting their professional and personal affairs online and on devices such as smartphones or tablets. These activities include applying for jobs, researching symptoms and communicating with health care providers, applying for permits and licenses, mapping routes, communicating with friends and family, and consuming news and entertainment. Through these daily activities, consumers generate enormous and unprecedented quantities of data about themselves, including their locations, behaviors, and preferences.</w:t>
      </w:r>
    </w:p>
    <w:p>
      <w:pPr>
        <w:spacing w:before="0" w:after="0" w:line="408" w:lineRule="exact"/>
        <w:ind w:left="0" w:right="0" w:firstLine="576"/>
        <w:jc w:val="left"/>
      </w:pPr>
      <w:r>
        <w:rPr/>
        <w:t xml:space="preserve">(2) The legislature further recognizes that technological advances have made it possible to more easily and quickly gather, analyze, and export vast amounts of personal information, whether such information is obtained through electronic or other means.</w:t>
      </w:r>
    </w:p>
    <w:p>
      <w:pPr>
        <w:spacing w:before="0" w:after="0" w:line="408" w:lineRule="exact"/>
        <w:ind w:left="0" w:right="0" w:firstLine="576"/>
        <w:jc w:val="left"/>
      </w:pPr>
      <w:r>
        <w:rPr/>
        <w:t xml:space="preserve">(3) The legislature finds that there are various businesses engaged in accumulating the personal data that is available to be collected on Washingtonians, aggregating or compiling that information, and reselling it without any compensation to the people of the state. This is a new business model that has flourished and is anticipated to grow as more people and more devices are connected with ever-increasing frequency for an ever greater number of innovative applications. As such, the legislature intends to have this unique and growing industry set apart with its own individual tax rate. This will provide transparency on the number of businesses and volume of activity in this industry, and allow for fair compensation of Washingtonians on whose information these businesses profit.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Upon every person engaging within this state in the business of making sales of personal information or exchanging personal information for consideration; as to such persons the amount of tax with respect to such business is equal to the gross income of the business multiplied by the rate of 3.3 percent.</w:t>
      </w:r>
    </w:p>
    <w:p>
      <w:pPr>
        <w:spacing w:before="0" w:after="0" w:line="408" w:lineRule="exact"/>
        <w:ind w:left="0" w:right="0" w:firstLine="576"/>
        <w:jc w:val="left"/>
      </w:pPr>
      <w:r>
        <w:rPr/>
        <w:t xml:space="preserve">(2) For the purposes of this section, "personal information" means information that identifies, relates to, describes, or is capable of being associated with, a particular individual, including but not limited to his or her name; physical address, mailing address, or other location information; telephone number; email address; internet protocol address; signature; physical characteristics or description; biometric data; driver's license number, state identification card number, passport number, social security number, or other government-issued identification number; bank account number, debit card number, credit card number, or any other financial information; insurance information; medical information; employment information; and educational information. "Personal information" also includes browser habits, consumer preferences and any other data that can be attributed to an individual and can be used for marketing, or determining access and costs related to insurance, credit, or health care. "Personal information" does not include photographs or internet access.</w:t>
      </w:r>
    </w:p>
    <w:p>
      <w:pPr>
        <w:spacing w:before="0" w:after="0" w:line="408" w:lineRule="exact"/>
        <w:ind w:left="0" w:right="0" w:firstLine="576"/>
        <w:jc w:val="left"/>
      </w:pPr>
      <w:r>
        <w:rPr/>
        <w:t xml:space="preserve">(3) For the purposes of this section, "engaging within this state" has the same meaning as provided in RCW 82.04.066, and also means that a person generates gross income of the business from personal information, as defined in subsection (2) of this section, of individuals located in this state. For purposes of this subsection, an individual is located in this state if any of the addresses, as defined in RCW 82.04.462(5), utilized by that individual is located in this state.</w:t>
      </w:r>
    </w:p>
    <w:p>
      <w:pPr>
        <w:spacing w:before="0" w:after="0" w:line="408" w:lineRule="exact"/>
        <w:ind w:left="0" w:right="0" w:firstLine="576"/>
        <w:jc w:val="left"/>
      </w:pPr>
      <w:r>
        <w:rPr/>
        <w:t xml:space="preserve">(4) Nothing in this section may be construed as to impose a tax on internet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w:t>
      </w:r>
      <w:r>
        <w:t>((</w:t>
      </w:r>
      <w:r>
        <w:rPr>
          <w:strike/>
        </w:rPr>
        <w:t xml:space="preserve">Credit bureau services;</w:t>
      </w:r>
    </w:p>
    <w:p>
      <w:pPr>
        <w:spacing w:before="0" w:after="0" w:line="408" w:lineRule="exact"/>
        <w:ind w:left="0" w:right="0" w:firstLine="576"/>
        <w:jc w:val="left"/>
      </w:pPr>
      <w:r>
        <w:rPr>
          <w:strike/>
        </w:rPr>
        <w:t xml:space="preserve">(c)</w:t>
      </w:r>
      <w:r>
        <w:t>))</w:t>
      </w:r>
      <w:r>
        <w:rPr/>
        <w:t xml:space="preserve"> Automobile parking and storage garage services;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Service charges associated with tickets to professional sporting events;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Operating an athletic or fitness facility, including all charges for the use of such a facility or for any associated services and amenities, except as provided in </w:t>
      </w:r>
      <w:r>
        <w:t>((</w:t>
      </w:r>
      <w:r>
        <w:rPr>
          <w:strike/>
        </w:rPr>
        <w:t xml:space="preserve">(g)</w:t>
      </w:r>
      <w:r>
        <w:t>))</w:t>
      </w:r>
      <w:r>
        <w:rPr/>
        <w:t xml:space="preserve"> </w:t>
      </w:r>
      <w:r>
        <w:rPr>
          <w:u w:val="single"/>
        </w:rPr>
        <w:t xml:space="preserve">(f)</w:t>
      </w:r>
      <w:r>
        <w:rPr/>
        <w:t xml:space="preserve">(ii) of this subsection.</w:t>
      </w:r>
    </w:p>
    <w:p>
      <w:pPr>
        <w:spacing w:before="0" w:after="0" w:line="408" w:lineRule="exact"/>
        <w:ind w:left="0" w:right="0" w:firstLine="576"/>
        <w:jc w:val="left"/>
      </w:pPr>
      <w:r>
        <w:rPr/>
        <w:t xml:space="preserve">(ii) Notwithstanding anything to the contrary in </w:t>
      </w:r>
      <w:r>
        <w:t>((</w:t>
      </w:r>
      <w:r>
        <w:rPr>
          <w:strike/>
        </w:rPr>
        <w:t xml:space="preserve">(g)</w:t>
      </w:r>
      <w:r>
        <w:t>))</w:t>
      </w:r>
      <w:r>
        <w:rPr/>
        <w:t xml:space="preserve"> </w:t>
      </w:r>
      <w:r>
        <w:rPr>
          <w:u w:val="single"/>
        </w:rPr>
        <w:t xml:space="preserve">(f)</w:t>
      </w:r>
      <w:r>
        <w:rPr/>
        <w:t xml:space="preserve">(i)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w:t>
      </w:r>
      <w:r>
        <w:t>((</w:t>
      </w:r>
      <w:r>
        <w:rPr>
          <w:strike/>
        </w:rPr>
        <w:t xml:space="preserve">(g)</w:t>
      </w:r>
      <w:r>
        <w:t>))</w:t>
      </w:r>
      <w:r>
        <w:rPr/>
        <w:t xml:space="preserve"> </w:t>
      </w:r>
      <w:r>
        <w:rPr>
          <w:u w:val="single"/>
        </w:rPr>
        <w:t xml:space="preserve">(f)</w:t>
      </w:r>
      <w:r>
        <w:rPr/>
        <w:t xml:space="preserve">(ii)(C)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w:t>
      </w:r>
      <w:r>
        <w:t>((</w:t>
      </w:r>
      <w:r>
        <w:rPr>
          <w:strike/>
        </w:rPr>
        <w:t xml:space="preserve">(g)</w:t>
      </w:r>
      <w:r>
        <w:t>))</w:t>
      </w:r>
      <w:r>
        <w:rPr/>
        <w:t xml:space="preserve"> </w:t>
      </w:r>
      <w:r>
        <w:rPr>
          <w:u w:val="single"/>
        </w:rPr>
        <w:t xml:space="preserve">(f)</w:t>
      </w:r>
      <w:r>
        <w:rPr/>
        <w:t xml:space="preserve">(ii)(D),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w:t>
      </w:r>
      <w:r>
        <w:t>((</w:t>
      </w:r>
      <w:r>
        <w:rPr>
          <w:strike/>
        </w:rPr>
        <w:t xml:space="preserve">(g)</w:t>
      </w:r>
      <w:r>
        <w:t>))</w:t>
      </w:r>
      <w:r>
        <w:rPr/>
        <w:t xml:space="preserve"> </w:t>
      </w:r>
      <w:r>
        <w:rPr>
          <w:u w:val="single"/>
        </w:rPr>
        <w:t xml:space="preserve">(f)</w:t>
      </w:r>
      <w:r>
        <w:rPr/>
        <w:t xml:space="preserve">. For purposes of this subsection (3)</w:t>
      </w:r>
      <w:r>
        <w:t>((</w:t>
      </w:r>
      <w:r>
        <w:rPr>
          <w:strike/>
        </w:rPr>
        <w:t xml:space="preserve">(g)</w:t>
      </w:r>
      <w:r>
        <w:t>))</w:t>
      </w:r>
      <w:r>
        <w:rPr/>
        <w:t xml:space="preserve"> </w:t>
      </w:r>
      <w:r>
        <w:rPr>
          <w:u w:val="single"/>
        </w:rPr>
        <w:t xml:space="preserve">(f)</w:t>
      </w:r>
      <w:r>
        <w:rPr/>
        <w:t xml:space="preserve">(ii)(G),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w:t>
      </w:r>
      <w:r>
        <w:t>((</w:t>
      </w:r>
      <w:r>
        <w:rPr>
          <w:strike/>
        </w:rPr>
        <w:t xml:space="preserve">(g)</w:t>
      </w:r>
      <w:r>
        <w:t>))</w:t>
      </w:r>
      <w:r>
        <w:rPr/>
        <w:t xml:space="preserve"> </w:t>
      </w:r>
      <w:r>
        <w:rPr>
          <w:u w:val="single"/>
        </w:rPr>
        <w:t xml:space="preserve">(f)</w:t>
      </w:r>
      <w:r>
        <w:rPr/>
        <w:t xml:space="preserve">(ii)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w:t>
      </w:r>
      <w:r>
        <w:t>((</w:t>
      </w:r>
      <w:r>
        <w:rPr>
          <w:strike/>
        </w:rPr>
        <w:t xml:space="preserve">(g)</w:t>
      </w:r>
      <w:r>
        <w:t>))</w:t>
      </w:r>
      <w:r>
        <w:rPr/>
        <w:t xml:space="preserve"> </w:t>
      </w:r>
      <w:r>
        <w:rPr>
          <w:u w:val="single"/>
        </w:rPr>
        <w:t xml:space="preserve">(f)</w:t>
      </w:r>
      <w:r>
        <w:rPr/>
        <w:t xml:space="preserve">,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w:t>
      </w:r>
      <w:r>
        <w:t>((</w:t>
      </w:r>
      <w:r>
        <w:rPr>
          <w:strike/>
        </w:rPr>
        <w:t xml:space="preserve">and</w:t>
      </w:r>
      <w:r>
        <w:t>))</w:t>
      </w:r>
    </w:p>
    <w:p>
      <w:pPr>
        <w:spacing w:before="0" w:after="0" w:line="408" w:lineRule="exact"/>
        <w:ind w:left="0" w:right="0" w:firstLine="576"/>
        <w:jc w:val="left"/>
      </w:pPr>
      <w:r>
        <w:rPr/>
        <w:t xml:space="preserve">(xvi) </w:t>
      </w:r>
      <w:r>
        <w:rPr>
          <w:u w:val="single"/>
        </w:rPr>
        <w:t xml:space="preserve">Any business activity taxable under section 2 of this act; and</w:t>
      </w:r>
    </w:p>
    <w:p>
      <w:pPr>
        <w:spacing w:before="0" w:after="0" w:line="408" w:lineRule="exact"/>
        <w:ind w:left="0" w:right="0" w:firstLine="576"/>
        <w:jc w:val="left"/>
      </w:pPr>
      <w:r>
        <w:rPr>
          <w:u w:val="single"/>
        </w:rPr>
        <w:t xml:space="preserve">(xvii)</w:t>
      </w:r>
      <w:r>
        <w:rPr/>
        <w:t xml:space="preserve">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w:t>
      </w:r>
      <w:r>
        <w:t>((</w:t>
      </w:r>
      <w:r>
        <w:rPr>
          <w:strike/>
        </w:rPr>
        <w:t xml:space="preserve">and</w:t>
      </w:r>
      <w:r>
        <w:t>))</w:t>
      </w:r>
    </w:p>
    <w:p>
      <w:pPr>
        <w:spacing w:before="0" w:after="0" w:line="408" w:lineRule="exact"/>
        <w:ind w:left="0" w:right="0" w:firstLine="576"/>
        <w:jc w:val="left"/>
      </w:pPr>
      <w:r>
        <w:rPr/>
        <w:t xml:space="preserve">(v) </w:t>
      </w:r>
      <w:r>
        <w:rPr>
          <w:u w:val="single"/>
        </w:rPr>
        <w:t xml:space="preserve">Personal information as defined in section 2 of this act; and</w:t>
      </w:r>
    </w:p>
    <w:p>
      <w:pPr>
        <w:spacing w:before="0" w:after="0" w:line="408" w:lineRule="exact"/>
        <w:ind w:left="0" w:right="0" w:firstLine="576"/>
        <w:jc w:val="left"/>
      </w:pPr>
      <w:r>
        <w:rPr>
          <w:u w:val="single"/>
        </w:rPr>
        <w:t xml:space="preserve">(vi)</w:t>
      </w:r>
      <w:r>
        <w:rPr/>
        <w:t xml:space="preserve"> Services and activities excluded from the definition of digital automated services in subsection (3)(b)(i) through </w:t>
      </w:r>
      <w:r>
        <w:t>((</w:t>
      </w:r>
      <w:r>
        <w:rPr>
          <w:strike/>
        </w:rPr>
        <w:t xml:space="preserve">(xv)</w:t>
      </w:r>
      <w:r>
        <w:t>))</w:t>
      </w:r>
      <w:r>
        <w:rPr/>
        <w:t xml:space="preserve"> </w:t>
      </w:r>
      <w:r>
        <w:rPr>
          <w:u w:val="single"/>
        </w:rPr>
        <w:t xml:space="preserve">(xvi)</w:t>
      </w:r>
      <w:r>
        <w:rPr/>
        <w:t xml:space="preserve"> of this section and not otherwise described in (b)(i) through </w:t>
      </w:r>
      <w:r>
        <w:t>((</w:t>
      </w:r>
      <w:r>
        <w:rPr>
          <w:strike/>
        </w:rPr>
        <w:t xml:space="preserve">(iv)</w:t>
      </w:r>
      <w:r>
        <w:t>))</w:t>
      </w:r>
      <w:r>
        <w:rPr/>
        <w:t xml:space="preserve"> </w:t>
      </w:r>
      <w:r>
        <w:rPr>
          <w:u w:val="single"/>
        </w:rPr>
        <w:t xml:space="preserve">(v)</w:t>
      </w:r>
      <w:r>
        <w:rPr/>
        <w:t xml:space="preserve">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provided in RCW 82.04.290(2)(a).</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w:t>
      </w:r>
      <w:r>
        <w:rPr>
          <w:u w:val="single"/>
        </w:rPr>
        <w:t xml:space="preserve">gross income of the business from the sale of, or exchange for consideration, personal information as defined in section 2 of this act,</w:t>
      </w:r>
      <w:r>
        <w:rPr/>
        <w:t xml:space="preserv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w:t>
      </w:r>
      <w:r>
        <w:t>((</w:t>
      </w:r>
      <w:r>
        <w:rPr>
          <w:strike/>
        </w:rPr>
        <w:t xml:space="preserve">and</w:t>
      </w:r>
      <w:r>
        <w:t>))</w:t>
      </w:r>
    </w:p>
    <w:p>
      <w:pPr>
        <w:spacing w:before="0" w:after="0" w:line="408" w:lineRule="exact"/>
        <w:ind w:left="0" w:right="0" w:firstLine="576"/>
        <w:jc w:val="left"/>
      </w:pPr>
      <w:r>
        <w:rPr/>
        <w:t xml:space="preserve">(x) RCW 82.04.260(14) and 82.04.280(1)(a), but only with respect to advertising</w:t>
      </w:r>
      <w:r>
        <w:rPr>
          <w:u w:val="single"/>
        </w:rPr>
        <w:t xml:space="preserve">; and</w:t>
      </w:r>
    </w:p>
    <w:p>
      <w:pPr>
        <w:spacing w:before="0" w:after="0" w:line="408" w:lineRule="exact"/>
        <w:ind w:left="0" w:right="0" w:firstLine="576"/>
        <w:jc w:val="left"/>
      </w:pPr>
      <w:r>
        <w:rPr>
          <w:u w:val="single"/>
        </w:rPr>
        <w:t xml:space="preserve">(xi) Section 2 of this act</w:t>
      </w:r>
      <w:r>
        <w:rPr/>
        <w:t xml:space="preserve">.</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w:t>
      </w:r>
      <w:r>
        <w:t>((</w:t>
      </w:r>
      <w:r>
        <w:rPr>
          <w:strike/>
        </w:rPr>
        <w:t xml:space="preserve">(x)</w:t>
      </w:r>
      <w:r>
        <w:t>))</w:t>
      </w:r>
      <w:r>
        <w:rPr/>
        <w:t xml:space="preserve"> </w:t>
      </w:r>
      <w:r>
        <w:rPr>
          <w:u w:val="single"/>
        </w:rPr>
        <w:t xml:space="preserve">(xi)</w:t>
      </w:r>
      <w:r>
        <w:rPr/>
        <w:t xml:space="preserve">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w:t>
      </w:r>
      <w:r>
        <w:t>((</w:t>
      </w:r>
      <w:r>
        <w:rPr>
          <w:strike/>
        </w:rPr>
        <w:t xml:space="preserve">(x)</w:t>
      </w:r>
      <w:r>
        <w:t>))</w:t>
      </w:r>
      <w:r>
        <w:rPr/>
        <w:t xml:space="preserve"> </w:t>
      </w:r>
      <w:r>
        <w:rPr>
          <w:u w:val="single"/>
        </w:rPr>
        <w:t xml:space="preserve">(xi)</w:t>
      </w:r>
      <w:r>
        <w:rPr/>
        <w:t xml:space="preserve">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w:t>
      </w:r>
      <w:r>
        <w:rPr>
          <w:u w:val="single"/>
        </w:rPr>
        <w:t xml:space="preserve">(a)(i) Except as provided in (a)(ii) of this subsection (5), for purposes of computing the receipts factor under subsection (3) of this section, gross income of the business generating sales of, or exchanging for consideration, personal information must be attributable to this state in the ratio, expressed as a percentage, that the number of Washington addresses in the personal information bears to all addresses in the personal information. Only personal information used to generate the gross income of the business to be attributed under this subsection (5)(a)(i) is applicable in calculating the ratio described in this subsection (5)(a)(i).</w:t>
      </w:r>
    </w:p>
    <w:p>
      <w:pPr>
        <w:spacing w:before="0" w:after="0" w:line="408" w:lineRule="exact"/>
        <w:ind w:left="0" w:right="0" w:firstLine="576"/>
        <w:jc w:val="left"/>
      </w:pPr>
      <w:r>
        <w:rPr>
          <w:u w:val="single"/>
        </w:rPr>
        <w:t xml:space="preserve">(ii) If the taxpayer is unable to attribute gross income of the business under the provisions of (a)(i) of this subsection (5), gross income of the business generated from making sales of, or exchanging for consideration, personal information must be attributed to this state in the ratio, expressed as a percentage, that the population of this state bears to all the states of the United States in the taxpayer's market, or by any other reasonable methods of attribution allowed by the department.</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"Addresses" means physical, mailing, or internet protocol addresses, or similar addresses; and</w:t>
      </w:r>
    </w:p>
    <w:p>
      <w:pPr>
        <w:spacing w:before="0" w:after="0" w:line="408" w:lineRule="exact"/>
        <w:ind w:left="0" w:right="0" w:firstLine="576"/>
        <w:jc w:val="left"/>
      </w:pPr>
      <w:r>
        <w:rPr>
          <w:u w:val="single"/>
        </w:rPr>
        <w:t xml:space="preserve">(ii) "Personal information" has the same meaning as provided in section 2 of this act.</w:t>
      </w:r>
    </w:p>
    <w:p>
      <w:pPr>
        <w:spacing w:before="0" w:after="0" w:line="408" w:lineRule="exact"/>
        <w:ind w:left="0" w:right="0" w:firstLine="576"/>
        <w:jc w:val="left"/>
      </w:pPr>
      <w:r>
        <w:rPr>
          <w:u w:val="single"/>
        </w:rPr>
        <w:t xml:space="preserve">(6)</w:t>
      </w:r>
      <w:r>
        <w:rPr/>
        <w:t xml:space="preserve">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t xml:space="preserve">The tax imposed by RCW 82.08.020 does not apply to sales defined as a sale at retail and retail sale under RCW 82.04.050 (3)</w:t>
      </w:r>
      <w:r>
        <w:t>((</w:t>
      </w:r>
      <w:r>
        <w:rPr>
          <w:strike/>
        </w:rPr>
        <w:t xml:space="preserve">(g)</w:t>
      </w:r>
      <w:r>
        <w:t>))</w:t>
      </w:r>
      <w:r>
        <w:rPr/>
        <w:t xml:space="preserve"> </w:t>
      </w:r>
      <w:r>
        <w:rPr>
          <w:u w:val="single"/>
        </w:rPr>
        <w:t xml:space="preserve">(f)</w:t>
      </w:r>
      <w:r>
        <w:rPr/>
        <w:t xml:space="preserve"> or (15), by a nonprofit youth organization, as defined in RCW 82.04.4271, to members of the organization; and the tax does not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087</w:t>
      </w:r>
      <w:r>
        <w:rPr/>
        <w:t xml:space="preserve"> and 2015 c 169 s 11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must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must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must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w:t>
      </w:r>
      <w:r>
        <w:t>((</w:t>
      </w:r>
      <w:r>
        <w:rPr>
          <w:strike/>
        </w:rPr>
        <w:t xml:space="preserve">through (c), (e), (f), and (g)</w:t>
      </w:r>
      <w:r>
        <w:t>))</w:t>
      </w:r>
      <w:r>
        <w:rPr>
          <w:u w:val="single"/>
        </w:rPr>
        <w:t xml:space="preserve">, (b), and (d) through (f)</w:t>
      </w:r>
      <w:r>
        <w:rPr/>
        <w:t xml:space="preserve">, (5) and (15);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96ba1bf9cde743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9f7ea2f904e13" /><Relationship Type="http://schemas.openxmlformats.org/officeDocument/2006/relationships/footer" Target="/word/footer.xml" Id="R96ba1bf9cde74361" /></Relationships>
</file>