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20d4f9968c477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Van Werven, and Haler; by request of State Board for Community and Technical Colleges</w:t>
      </w:r>
    </w:p>
    <w:p/>
    <w:p>
      <w:r>
        <w:rPr>
          <w:t xml:space="preserve">Read first time 02/02/17.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leasehold excise tax exemption for certain leasehold interests in facilities owned or used by schools, colleges, or universities; reenacting and amending RCW 82.29A.130;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PROVIDED, That this exemption shall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u w:val="single"/>
        </w:rPr>
        <w:t xml:space="preserve">(a) Food services for students, faculty, and staff;</w:t>
      </w:r>
    </w:p>
    <w:p>
      <w:pPr>
        <w:spacing w:before="0" w:after="0" w:line="408" w:lineRule="exact"/>
        <w:ind w:left="0" w:right="0" w:firstLine="576"/>
        <w:jc w:val="left"/>
      </w:pPr>
      <w:r>
        <w:rPr>
          <w:u w:val="single"/>
        </w:rPr>
        <w:t xml:space="preserve">(b) The operation of a bookstore on campus; or</w:t>
      </w:r>
    </w:p>
    <w:p>
      <w:pPr>
        <w:spacing w:before="0" w:after="0" w:line="408" w:lineRule="exact"/>
        <w:ind w:left="0" w:right="0" w:firstLine="576"/>
        <w:jc w:val="left"/>
      </w:pPr>
      <w:r>
        <w:rPr>
          <w:u w:val="single"/>
        </w:rPr>
        <w:t xml:space="preserve">(c) Maintenance, operational, or administrative services to the community college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e2b926e18e9644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af13640d4450a" /><Relationship Type="http://schemas.openxmlformats.org/officeDocument/2006/relationships/footer" Target="/word/footer.xml" Id="Re2b926e18e96442d" /></Relationships>
</file>