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f54916f774eaf" /></Relationships>
</file>

<file path=word/document.xml><?xml version="1.0" encoding="utf-8"?>
<w:document xmlns:w="http://schemas.openxmlformats.org/wordprocessingml/2006/main">
  <w:body>
    <w:p>
      <w:r>
        <w:t>H-1396.2</w:t>
      </w:r>
    </w:p>
    <w:p>
      <w:pPr>
        <w:jc w:val="center"/>
      </w:pPr>
      <w:r>
        <w:t>_______________________________________________</w:t>
      </w:r>
    </w:p>
    <w:p/>
    <w:p>
      <w:pPr>
        <w:jc w:val="center"/>
      </w:pPr>
      <w:r>
        <w:rPr>
          <w:b/>
        </w:rPr>
        <w:t>HOUSE BILL 1924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and Fitzgibbon</w:t>
      </w:r>
    </w:p>
    <w:p/>
    <w:p>
      <w:r>
        <w:rPr>
          <w:t xml:space="preserve">Read first time 02/02/17.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forest landowners; and amending RCW 19.30.010, 76.04.205, and 70.94.6534.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010</w:t>
      </w:r>
      <w:r>
        <w:rPr/>
        <w:t xml:space="preserve"> and 1985 c 280 s 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"Person" includes any individual, firm, partnership, association, corporation, or unit or agency of state or local government.</w:t>
      </w:r>
    </w:p>
    <w:p>
      <w:pPr>
        <w:spacing w:before="0" w:after="0" w:line="408" w:lineRule="exact"/>
        <w:ind w:left="0" w:right="0" w:firstLine="576"/>
        <w:jc w:val="left"/>
      </w:pPr>
      <w:r>
        <w:rPr/>
        <w:t xml:space="preserve">(2) "Farm labor contractor" means any person, or his or her agent or subcontractor, who, for a fee, performs any farm labor contracting activity. </w:t>
      </w:r>
      <w:r>
        <w:rPr>
          <w:u w:val="single"/>
        </w:rPr>
        <w:t xml:space="preserve">"Farm labor contractor" does not include a person performing farm labor contracting activity solely for a small forest landowner as defined in RCW 76.09.450 who receives services of no more than two agricultural employees at any given time.</w:t>
      </w:r>
    </w:p>
    <w:p>
      <w:pPr>
        <w:spacing w:before="0" w:after="0" w:line="408" w:lineRule="exact"/>
        <w:ind w:left="0" w:right="0" w:firstLine="576"/>
        <w:jc w:val="left"/>
      </w:pPr>
      <w:r>
        <w:rPr/>
        <w:t xml:space="preserve">(3) "Farm labor contracting activity" means recruiting, soliciting, employing, supplying, transporting, or hiring agricultural employees.</w:t>
      </w:r>
    </w:p>
    <w:p>
      <w:pPr>
        <w:spacing w:before="0" w:after="0" w:line="408" w:lineRule="exact"/>
        <w:ind w:left="0" w:right="0" w:firstLine="576"/>
        <w:jc w:val="left"/>
      </w:pPr>
      <w:r>
        <w:rPr/>
        <w:t xml:space="preserve">(4) "Agricultural employer" means any person engaged in agricultural activity, including the growing, producing, or harvesting of farm or nursery products, or engaged in the forestation or reforestation of lands, which includes but is not limited to the planting, transplanting, tubing, precommercial thinning, and thinning of trees and seedlings, the clearing, piling, and disposal of brush and slash, the harvest of Christmas trees, and other related activities.</w:t>
      </w:r>
    </w:p>
    <w:p>
      <w:pPr>
        <w:spacing w:before="0" w:after="0" w:line="408" w:lineRule="exact"/>
        <w:ind w:left="0" w:right="0" w:firstLine="576"/>
        <w:jc w:val="left"/>
      </w:pPr>
      <w:r>
        <w:rPr/>
        <w:t xml:space="preserve">(5) "Agricultural employee" means any person who renders personal services to, or under the direction of, an agricultural employer in connection with the employer's agricultural activity.</w:t>
      </w:r>
    </w:p>
    <w:p>
      <w:pPr>
        <w:spacing w:before="0" w:after="0" w:line="408" w:lineRule="exact"/>
        <w:ind w:left="0" w:right="0" w:firstLine="576"/>
        <w:jc w:val="left"/>
      </w:pPr>
      <w:r>
        <w:rPr/>
        <w:t xml:space="preserve">(6) This chapter shall not apply to employees of the employment security department acting in their official capacity or their agents, nor to any common carrier or full time regular employees thereof while transporting agricultural employees, nor to any person who performs any of the services enumerated in subsection (3) of this section only within the scope of his or her regular employment for one agricultural employer on whose behalf he or she is so acting, unless he or she is receiving a commission or fee, which commission or fee is determined by the number of workers recruited, or to a nonprofit corporation or organization which performs the same functions for its members. Such nonprofit corporation or organization shall be one in which:</w:t>
      </w:r>
    </w:p>
    <w:p>
      <w:pPr>
        <w:spacing w:before="0" w:after="0" w:line="408" w:lineRule="exact"/>
        <w:ind w:left="0" w:right="0" w:firstLine="576"/>
        <w:jc w:val="left"/>
      </w:pPr>
      <w:r>
        <w:rPr/>
        <w:t xml:space="preserve">(a) None of its directors, officers, or employees are deriving any profit beyond a reasonable salary for services performed in its behalf.</w:t>
      </w:r>
    </w:p>
    <w:p>
      <w:pPr>
        <w:spacing w:before="0" w:after="0" w:line="408" w:lineRule="exact"/>
        <w:ind w:left="0" w:right="0" w:firstLine="576"/>
        <w:jc w:val="left"/>
      </w:pPr>
      <w:r>
        <w:rPr/>
        <w:t xml:space="preserve">(b) Membership dues and fees are used solely for the maintenance of the association or corporation.</w:t>
      </w:r>
    </w:p>
    <w:p>
      <w:pPr>
        <w:spacing w:before="0" w:after="0" w:line="408" w:lineRule="exact"/>
        <w:ind w:left="0" w:right="0" w:firstLine="576"/>
        <w:jc w:val="left"/>
      </w:pPr>
      <w:r>
        <w:rPr/>
        <w:t xml:space="preserve">(7) "Fee" means:</w:t>
      </w:r>
    </w:p>
    <w:p>
      <w:pPr>
        <w:spacing w:before="0" w:after="0" w:line="408" w:lineRule="exact"/>
        <w:ind w:left="0" w:right="0" w:firstLine="576"/>
        <w:jc w:val="left"/>
      </w:pPr>
      <w:r>
        <w:rPr/>
        <w:t xml:space="preserve">(a) Any money or other valuable consideration paid or promised to be paid for services rendered or to be rendered by a farm labor contractor.</w:t>
      </w:r>
    </w:p>
    <w:p>
      <w:pPr>
        <w:spacing w:before="0" w:after="0" w:line="408" w:lineRule="exact"/>
        <w:ind w:left="0" w:right="0" w:firstLine="576"/>
        <w:jc w:val="left"/>
      </w:pPr>
      <w:r>
        <w:rPr/>
        <w:t xml:space="preserve">(b) Any valuable consideration received or to be received by a farm labor contractor for or in connection with any of the services described in subsection (3) of this section, and shall include the difference between any amount received or to be received by him, and the amount paid out by him for or in connection with the rendering of such services.</w:t>
      </w:r>
    </w:p>
    <w:p>
      <w:pPr>
        <w:spacing w:before="0" w:after="0" w:line="408" w:lineRule="exact"/>
        <w:ind w:left="0" w:right="0" w:firstLine="576"/>
        <w:jc w:val="left"/>
      </w:pPr>
      <w:r>
        <w:rPr/>
        <w:t xml:space="preserve">(8) "Director" as used in this chapter means the director of the department of labor and industries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w:t>
      </w:r>
      <w:r>
        <w:rPr>
          <w:u w:val="single"/>
        </w:rPr>
        <w:t xml:space="preserve">(a)</w:t>
      </w:r>
      <w:r>
        <w:rPr/>
        <w:t xml:space="preserve">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u w:val="single"/>
        </w:rPr>
        <w:t xml:space="preserve">(b) Permits issued by the department to applicants who are small forest landowners as defined in RCW 76.09.450 may be multiple year permits, if a multiple year permit is requested by the small forest landowner.</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permits to burn when necessary for the safety of adjacent property or when necessary in their judgment to prevent air pollution as provided in chapter 70.94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6534</w:t>
      </w:r>
      <w:r>
        <w:rPr/>
        <w:t xml:space="preserve"> and 2010 1st sp.s. c 7 s 128 are each amended to read as follows:</w:t>
      </w:r>
    </w:p>
    <w:p>
      <w:pPr>
        <w:spacing w:before="0" w:after="0" w:line="408" w:lineRule="exact"/>
        <w:ind w:left="0" w:right="0" w:firstLine="576"/>
        <w:jc w:val="left"/>
      </w:pPr>
      <w:r>
        <w:rPr/>
        <w:t xml:space="preserve">(1) The department of natural resources shall have the responsibility for issuing and regulating burning permits required by it relating to the following activities for the protection of life or property and/or for the public health, safety, and welfare:</w:t>
      </w:r>
    </w:p>
    <w:p>
      <w:pPr>
        <w:spacing w:before="0" w:after="0" w:line="408" w:lineRule="exact"/>
        <w:ind w:left="0" w:right="0" w:firstLine="576"/>
        <w:jc w:val="left"/>
      </w:pPr>
      <w:r>
        <w:rPr/>
        <w:t xml:space="preserve">(a) Abating a forest fire hazard;</w:t>
      </w:r>
    </w:p>
    <w:p>
      <w:pPr>
        <w:spacing w:before="0" w:after="0" w:line="408" w:lineRule="exact"/>
        <w:ind w:left="0" w:right="0" w:firstLine="576"/>
        <w:jc w:val="left"/>
      </w:pPr>
      <w:r>
        <w:rPr/>
        <w:t xml:space="preserve">(b) Prevention of a fire hazard;</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w:t>
      </w:r>
    </w:p>
    <w:p>
      <w:pPr>
        <w:spacing w:before="0" w:after="0" w:line="408" w:lineRule="exact"/>
        <w:ind w:left="0" w:right="0" w:firstLine="576"/>
        <w:jc w:val="left"/>
      </w:pPr>
      <w:r>
        <w:rPr/>
        <w:t xml:space="preserve">(3) Permit fees shall be assessed for silvicultural burning under the jurisdiction of the department of natural resources and collected by the department of natural resources as provided for in this section. All fees shall be deposited in the air pollution control account, created in RCW 70.94.015. The legislature shall appropriate to the department of natural resources funds from the air pollution control account to enforce and administer the program under this section and RCW 70.94.6536, 70.94.6538, and 70.94.6540. Fees shall be set by rule by the department of natural resources at the level necessary to cover the costs of the program after receiving recommendations on such fees from the public. </w:t>
      </w:r>
      <w:r>
        <w:rPr>
          <w:u w:val="single"/>
        </w:rPr>
        <w:t xml:space="preserve">The department of natural resources may adopt a reduced fee schedule for applicants who are small forest landowners as defined in RCW 76.09.450.</w:t>
      </w:r>
    </w:p>
    <w:p/>
    <w:p>
      <w:pPr>
        <w:jc w:val="center"/>
      </w:pPr>
      <w:r>
        <w:rPr>
          <w:b/>
        </w:rPr>
        <w:t>--- END ---</w:t>
      </w:r>
    </w:p>
    <w:sectPr>
      <w:pgNumType w:start="1"/>
      <w:footerReference xmlns:r="http://schemas.openxmlformats.org/officeDocument/2006/relationships" r:id="R8640e7ad2cf544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4510c942d646df" /><Relationship Type="http://schemas.openxmlformats.org/officeDocument/2006/relationships/footer" Target="/word/footer.xml" Id="R8640e7ad2cf54401" /></Relationships>
</file>