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580dcec9142fb" /></Relationships>
</file>

<file path=word/document.xml><?xml version="1.0" encoding="utf-8"?>
<w:document xmlns:w="http://schemas.openxmlformats.org/wordprocessingml/2006/main">
  <w:body>
    <w:p>
      <w:r>
        <w:t>H-1387.1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1948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Harmsworth, Hudgins, Van Werven, Pollet, and Taylor</w:t>
      </w:r>
    </w:p>
    <w:p/>
    <w:p>
      <w:r>
        <w:rPr>
          <w:t xml:space="preserve">Read first time 02/03/17.  </w:t>
        </w:rPr>
      </w:r>
      <w:r>
        <w:rPr>
          <w:t xml:space="preserve">Referred to Committee on State Govt, Elections &amp; IT.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open meetings of subgroups of a public agency governing body; and amending RCW 42.30.030.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42</w:t>
      </w:r>
      <w:r>
        <w:rPr/>
        <w:t xml:space="preserve">.</w:t>
      </w:r>
      <w:r>
        <w:t xml:space="preserve">30</w:t>
      </w:r>
      <w:r>
        <w:rPr/>
        <w:t xml:space="preserve">.</w:t>
      </w:r>
      <w:r>
        <w:t xml:space="preserve">030</w:t>
      </w:r>
      <w:r>
        <w:rPr/>
        <w:t xml:space="preserve"> and 1971 ex.s. c 250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All meetings of the governing body of a public agency shall be open and public and all persons shall be permitted to attend any meeting of the governing body of a public agency, except as otherwise provided in this chapter.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Any subcommittee, task force, advisory group, or other work group created by an action of a governing body, and whose membership includes any member of that governing body, must: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Make any meeting open to the public if the meeting relates to a decision to make any policy or fiscal recommendations to a governing body;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Provide notice of the purpose of any such meeting online no later than twenty-four hours in advance of the published start time of the meeting.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835c10904fe482f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1948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2f6c422bd41bc" /><Relationship Type="http://schemas.openxmlformats.org/officeDocument/2006/relationships/footer" Target="/word/footer.xml" Id="Ra835c10904fe482f" /></Relationships>
</file>