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546dada1746b6" /></Relationships>
</file>

<file path=word/document.xml><?xml version="1.0" encoding="utf-8"?>
<w:document xmlns:w="http://schemas.openxmlformats.org/wordprocessingml/2006/main">
  <w:body>
    <w:p>
      <w:r>
        <w:t>H-1303.1</w:t>
      </w:r>
    </w:p>
    <w:p>
      <w:pPr>
        <w:jc w:val="center"/>
      </w:pPr>
      <w:r>
        <w:t>_______________________________________________</w:t>
      </w:r>
    </w:p>
    <w:p/>
    <w:p>
      <w:pPr>
        <w:jc w:val="center"/>
      </w:pPr>
      <w:r>
        <w:rPr>
          <w:b/>
        </w:rPr>
        <w:t>HOUSE BILL 2005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Nealey, Kagi, and Ormsby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 or</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as of July 1, 2017.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2017, must partner with the department for the issuance and renewal of its general business license as provided in subsection (1) of this section; or</w:t>
      </w:r>
    </w:p>
    <w:p>
      <w:pPr>
        <w:spacing w:before="0" w:after="0" w:line="408" w:lineRule="exact"/>
        <w:ind w:left="0" w:right="0" w:firstLine="576"/>
        <w:jc w:val="left"/>
      </w:pPr>
      <w:r>
        <w:rPr/>
        <w:t xml:space="preserve">(b) The city has an estimated population of fewer than five hundred as of July 1, 2017, and the city determines that partnering with the department would cause an undue hardship because the city lacks the fiscal or technical ability to participate in the partnering process. For the purposes of this subsection (7)(b), population is based on the most recent estimates produced by the office of financial management.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as provided in subsection (4) of this section. Such written notice must include an explanation of the nature of the hardship.</w:t>
      </w:r>
    </w:p>
    <w:p>
      <w:pPr>
        <w:spacing w:before="0" w:after="0" w:line="408" w:lineRule="exact"/>
        <w:ind w:left="0" w:right="0" w:firstLine="576"/>
        <w:jc w:val="left"/>
      </w:pPr>
      <w:r>
        <w:rPr/>
        <w:t xml:space="preserve">(8) By January 1, 2019, and each January 1st thereafter through January 1, 2028, the department must submit a progress report to the governor; legislative fiscal committees; house local government committee; senate agriculture, water, trade and economic development committee; senate local government committee; association of Washington cities; association of Washington business; national federation of independent business; and Washington retail association.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 of revenue.</w:t>
      </w:r>
    </w:p>
    <w:p>
      <w:pPr>
        <w:spacing w:before="0" w:after="0" w:line="408" w:lineRule="exact"/>
        <w:ind w:left="0" w:right="0" w:firstLine="576"/>
        <w:jc w:val="left"/>
      </w:pPr>
      <w:r>
        <w:rPr/>
        <w:t xml:space="preserve">(b) The task force may seek input or collaborate with other parties, as it deems necessary. The department of revenue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517cc15c104648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797f191234457" /><Relationship Type="http://schemas.openxmlformats.org/officeDocument/2006/relationships/footer" Target="/word/footer.xml" Id="R517cc15c104648a2" /></Relationships>
</file>