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d6345899034786" /></Relationships>
</file>

<file path=word/document.xml><?xml version="1.0" encoding="utf-8"?>
<w:document xmlns:w="http://schemas.openxmlformats.org/wordprocessingml/2006/main">
  <w:body>
    <w:p>
      <w:r>
        <w:t>H-1597.1</w:t>
      </w:r>
    </w:p>
    <w:p>
      <w:pPr>
        <w:jc w:val="center"/>
      </w:pPr>
      <w:r>
        <w:t>_______________________________________________</w:t>
      </w:r>
    </w:p>
    <w:p/>
    <w:p>
      <w:pPr>
        <w:jc w:val="center"/>
      </w:pPr>
      <w:r>
        <w:rPr>
          <w:b/>
        </w:rPr>
        <w:t>HOUSE BILL 2008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Jinkins, and Senn</w:t>
      </w:r>
    </w:p>
    <w:p/>
    <w:p>
      <w:r>
        <w:rPr>
          <w:t xml:space="preserve">Read first time 02/07/17.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core state services for children; amending RCW 43.88C.010; adding a new section to chapter 74.13 RCW;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requires predictability and stability in the budgeting process for these services. For these reasons, the legislature intends that costs for child protective services and certain programs for foster children be included in the state budgeting process at maintenance level. By implementing consistent statewide assessments, forecasting program caseloads, and incorporating forecast-based program costs into the maintenance level budget, the state can ensure predictable funding levels for these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in consultation with the department, must develop a single validated tool to assess the care needs of foster children. Once the validated tool is available for use on a statewide basis, the department must use the tool for assessing the care needs of foster children, including but not limited to whether the department should provide foster children with behavioral rehabilitation services. The department must notify the caseload forecast council, the office of financial management, and the appropriate fiscal committees of the legislature when it begins statewide use of the validated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w:t>
      </w:r>
      <w:r>
        <w:rPr>
          <w:u w:val="single"/>
        </w:rPr>
        <w:t xml:space="preserve">and related services as set forth in section 4 of this act</w:t>
      </w:r>
      <w:r>
        <w:rPr/>
        <w:t xml:space="preserve">, </w:t>
      </w:r>
      <w:r>
        <w:t>((</w:t>
      </w:r>
      <w:r>
        <w:rPr>
          <w:strike/>
        </w:rPr>
        <w:t xml:space="preserve">and</w:t>
      </w:r>
      <w:r>
        <w:t>))</w:t>
      </w:r>
      <w:r>
        <w:rPr/>
        <w:t xml:space="preserve"> adoption support</w:t>
      </w:r>
      <w:r>
        <w:rPr>
          <w:u w:val="single"/>
        </w:rPr>
        <w:t xml:space="preserve">, and screened-in reports of child abuse or neglect</w:t>
      </w:r>
      <w:r>
        <w:rPr/>
        <w:t xml:space="preserve">;</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 The requirements of this subsection apply only once the department is using a single validated assessment tool on a statewide basis as required by section 2 of this act;</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and</w:t>
      </w:r>
    </w:p>
    <w:p>
      <w:pPr>
        <w:spacing w:before="0" w:after="0" w:line="408" w:lineRule="exact"/>
        <w:ind w:left="0" w:right="0" w:firstLine="576"/>
        <w:jc w:val="left"/>
      </w:pPr>
      <w:r>
        <w:rPr/>
        <w:t xml:space="preserve">(4) Those activities currently being treated as maintenance level costs for budgeting or forecasting purposes on the effective date of this section,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in work or school.</w:t>
      </w:r>
    </w:p>
    <w:p/>
    <w:p>
      <w:pPr>
        <w:jc w:val="center"/>
      </w:pPr>
      <w:r>
        <w:rPr>
          <w:b/>
        </w:rPr>
        <w:t>--- END ---</w:t>
      </w:r>
    </w:p>
    <w:sectPr>
      <w:pgNumType w:start="1"/>
      <w:footerReference xmlns:r="http://schemas.openxmlformats.org/officeDocument/2006/relationships" r:id="Ref6060b1a2c5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d704a1dcc4305" /><Relationship Type="http://schemas.openxmlformats.org/officeDocument/2006/relationships/footer" Target="/word/footer.xml" Id="Ref6060b1a2c54cef" /></Relationships>
</file>