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ab8d923e54b31" /></Relationships>
</file>

<file path=word/document.xml><?xml version="1.0" encoding="utf-8"?>
<w:document xmlns:w="http://schemas.openxmlformats.org/wordprocessingml/2006/main">
  <w:body>
    <w:p>
      <w:r>
        <w:t>H-1945.1</w:t>
      </w:r>
    </w:p>
    <w:p>
      <w:pPr>
        <w:jc w:val="center"/>
      </w:pPr>
      <w:r>
        <w:t>_______________________________________________</w:t>
      </w:r>
    </w:p>
    <w:p/>
    <w:p>
      <w:pPr>
        <w:jc w:val="center"/>
      </w:pPr>
      <w:r>
        <w:rPr>
          <w:b/>
        </w:rPr>
        <w:t>SUBSTITUTE HOUSE BILL 2044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McBride, Peterson, Robinson, Orwall, Chapman, Kloba, Santos,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encampments hosted by religious organizations are a particularly vulnerable population that do not have access to the same services as citizens with more stable housing. Residents in these encampments can be at increased risk of exploitation, theft, unsanitary living conditions, and physical harm. Therefore, it is the intent of the legislature that local municipalities have the authority and discretion to protect the health and safety of residents in temporary encampments hosted by religious organizations.</w:t>
      </w:r>
      <w:r>
        <w:rPr/>
        <w:t xml:space="preserve"> Furthermore, the legislature finds and declares that tent encampments serve as a pathway for individuals experiencing homelessness to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county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county sheriff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county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county.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county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county.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city or town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city or town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city or town.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city or town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city or town.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code city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code city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code city.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code city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code city.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aca2f9bb7c4346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ed4f74d184639" /><Relationship Type="http://schemas.openxmlformats.org/officeDocument/2006/relationships/footer" Target="/word/footer.xml" Id="Raca2f9bb7c434671" /></Relationships>
</file>