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9cb10034e14be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2057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Judiciary (originally sponsored by Representative Orwall)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services and processes available when residential real property is abandoned or in foreclosure; and amending RCW 61.24.173, 61.24.040, and 61.24.163.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173</w:t>
      </w:r>
      <w:r>
        <w:rPr/>
        <w:t xml:space="preserve"> and 2016 c 196 s 2 are each amended to read as follows:</w:t>
      </w:r>
    </w:p>
    <w:p>
      <w:pPr>
        <w:spacing w:before="0" w:after="0" w:line="408" w:lineRule="exact"/>
        <w:ind w:left="0" w:right="0" w:firstLine="576"/>
        <w:jc w:val="left"/>
      </w:pPr>
      <w:r>
        <w:rPr/>
        <w:t xml:space="preserve">(1) Except as provided in subsections </w:t>
      </w:r>
      <w:r>
        <w:t>((</w:t>
      </w:r>
      <w:r>
        <w:rPr>
          <w:strike/>
        </w:rPr>
        <w:t xml:space="preserve">(4) and</w:t>
      </w:r>
      <w:r>
        <w:t>))</w:t>
      </w:r>
      <w:r>
        <w:rPr/>
        <w:t xml:space="preserve"> (5) </w:t>
      </w:r>
      <w:r>
        <w:rPr>
          <w:u w:val="single"/>
        </w:rPr>
        <w:t xml:space="preserve">and (6)</w:t>
      </w:r>
      <w:r>
        <w:rPr/>
        <w:t xml:space="preserve">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dollars to the department to be deposited, as provided under RCW 61.24.172, into the foreclosure fairness account. The </w:t>
      </w:r>
      <w:r>
        <w:t>((</w:t>
      </w:r>
      <w:r>
        <w:rPr>
          <w:strike/>
        </w:rPr>
        <w:t xml:space="preserve">two</w:t>
      </w:r>
      <w:r>
        <w:t>))</w:t>
      </w:r>
      <w:r>
        <w:rPr/>
        <w:t xml:space="preserve"> </w:t>
      </w:r>
      <w:r>
        <w:rPr>
          <w:u w:val="single"/>
        </w:rPr>
        <w:t xml:space="preserve">three</w:t>
      </w:r>
      <w:r>
        <w:rPr/>
        <w:t xml:space="preserve"> hundred </w:t>
      </w:r>
      <w:r>
        <w:t>((</w:t>
      </w:r>
      <w:r>
        <w:rPr>
          <w:strike/>
        </w:rPr>
        <w:t xml:space="preserve">fifty</w:t>
      </w:r>
      <w:r>
        <w:t>))</w:t>
      </w:r>
      <w:r>
        <w:rPr/>
        <w:t xml:space="preserve"> </w:t>
      </w:r>
      <w:r>
        <w:rPr>
          <w:u w:val="single"/>
        </w:rPr>
        <w:t xml:space="preserve">twenty-five</w:t>
      </w:r>
      <w:r>
        <w:rPr/>
        <w:t xml:space="preserve"> dollar payment is required for every recorded notice of trustee's sale </w:t>
      </w:r>
      <w:r>
        <w:rPr>
          <w:u w:val="single"/>
        </w:rPr>
        <w:t xml:space="preserve">for noncommercial loans on residential real property</w:t>
      </w:r>
      <w:r>
        <w:rPr/>
        <w:t xml:space="preserve">, but does not apply to the recording of an amended notice of trustee's sale. </w:t>
      </w:r>
      <w:r>
        <w:t>((</w:t>
      </w:r>
      <w:r>
        <w:rPr>
          <w:strike/>
        </w:rPr>
        <w:t xml:space="preserve">If the beneficiary previously made a payment under RCW 61.24.174, as it existed prior to July 1, 2016, for a notice of default supporting the recorded notice of trustee's sale, no payment is required under this section.</w:t>
      </w:r>
      <w:r>
        <w:t>))</w:t>
      </w:r>
      <w:r>
        <w:rPr/>
        <w:t xml:space="preserve"> </w:t>
      </w:r>
      <w:r>
        <w:rPr>
          <w:u w:val="single"/>
        </w:rPr>
        <w:t xml:space="preserve">Beginning on or before January 1, 2020, the department shall from time to time establish the amount of the fee, not to exceed three hundred twenty-five dollars, at a sufficient level to defray the costs of the program.</w:t>
      </w:r>
      <w:r>
        <w:rPr/>
        <w:t xml:space="preserve"> The beneficiary shall remit the total amount required in a lump sum each quarter.</w:t>
      </w:r>
    </w:p>
    <w:p>
      <w:pPr>
        <w:spacing w:before="0" w:after="0" w:line="408" w:lineRule="exact"/>
        <w:ind w:left="0" w:right="0" w:firstLine="576"/>
        <w:jc w:val="left"/>
      </w:pPr>
      <w:r>
        <w:rPr/>
        <w:t xml:space="preserve">(3) </w:t>
      </w:r>
      <w:r>
        <w:rPr>
          <w:u w:val="single"/>
        </w:rPr>
        <w:t xml:space="preserve">Any adjustment to the amount of the fee, pursuant to the authority of subsection (2) of this section, shall be made by rule adopted by the department in accordance with the provisions of chapter 34.05 RCW.</w:t>
      </w:r>
    </w:p>
    <w:p>
      <w:pPr>
        <w:spacing w:before="0" w:after="0" w:line="408" w:lineRule="exact"/>
        <w:ind w:left="0" w:right="0" w:firstLine="576"/>
        <w:jc w:val="left"/>
      </w:pPr>
      <w:r>
        <w:rPr>
          <w:u w:val="single"/>
        </w:rPr>
        <w:t xml:space="preserve">(4)</w:t>
      </w:r>
      <w:r>
        <w:rPr/>
        <w:t xml:space="preserve"> Reporting and payments under subsections (1) and (2) of this section are due within forty-five days of the end of each quarter.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association beneficiaries subject to chapter 64.32, 64.34, or 64.38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2012 c 185 s 10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ninety days before the sale, or if a letter under RCW 61.24.031 is required, at least one hundred twenty days before the sale, the trustee shall:</w:t>
      </w:r>
    </w:p>
    <w:p>
      <w:pPr>
        <w:spacing w:before="0" w:after="0" w:line="408" w:lineRule="exact"/>
        <w:ind w:left="0" w:right="0" w:firstLine="576"/>
        <w:jc w:val="left"/>
      </w:pPr>
      <w:r>
        <w:rPr/>
        <w:t xml:space="preserve">(a) Record a notice in the form described in (f) of this subsection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(f) of this subsection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 The borrower and grantor;</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(f) of this subsection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(f) of this subsection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(f) of this subsection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(f)</w:t>
      </w:r>
      <w:r>
        <w:rPr>
          <w:u w:val="single"/>
        </w:rPr>
        <w:t xml:space="preserve">(i) The notice required in this subsection must include a cover sheet on which the name of the beneficiary is clearly indicated and whether the loan is commercial or noncommercial. In addition to any other indexing requirements, the auditor shall index the notice of trustee's sale by beneficiary name.</w:t>
      </w:r>
    </w:p>
    <w:p>
      <w:pPr>
        <w:spacing w:before="0" w:after="0" w:line="408" w:lineRule="exact"/>
        <w:ind w:left="0" w:right="0" w:firstLine="576"/>
        <w:jc w:val="left"/>
      </w:pPr>
      <w:r>
        <w:rPr>
          <w:u w:val="single"/>
        </w:rPr>
        <w:t xml:space="preserve">(ii)</w:t>
      </w:r>
      <w:r>
        <w:rPr/>
        <w:t xml:space="preserve"> The notice </w:t>
      </w:r>
      <w:r>
        <w:t>((</w:t>
      </w:r>
      <w:r>
        <w:rPr>
          <w:strike/>
        </w:rPr>
        <w:t xml:space="preserve">shall</w:t>
      </w:r>
      <w:r>
        <w:t>))</w:t>
      </w:r>
      <w:r>
        <w:rPr/>
        <w:t xml:space="preserve"> </w:t>
      </w:r>
      <w:r>
        <w:rPr>
          <w:u w:val="single"/>
        </w:rPr>
        <w:t xml:space="preserve">must</w:t>
      </w:r>
      <w:r>
        <w:rPr/>
        <w:t xml:space="preserve"> be in substantially the following form:</w:t>
      </w:r>
    </w:p>
    <w:p>
      <w:pPr>
        <w:spacing w:before="120" w:after="0" w:line="408" w:lineRule="exact"/>
        <w:ind w:left="0" w:right="0" w:firstLine="576"/>
        <w:jc w:val="center"/>
      </w:pPr>
      <w:r>
        <w:rPr/>
        <w:t xml:space="preserve">NOTICE OF TRUSTEE'S SALE</w:t>
      </w:r>
    </w:p>
    <w:p>
      <w:pPr>
        <w:spacing w:before="120" w:after="0" w:line="408" w:lineRule="exact"/>
        <w:ind w:left="0" w:right="0" w:firstLine="576"/>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576"/>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576"/>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576"/>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576"/>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576"/>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r>
        <w:tc>
          <w:tcPr>
            <w:tcW w:w="2420" w:type="dxa"/>
            <w:vAlign w:val="top"/>
          </w:tcPr>
          <w:p>
            <w:pPr>
              <w:spacing w:before="0" w:after="0" w:line="408" w:lineRule="exact"/>
              <w:ind w:left="0" w:right="0" w:firstLine="0"/>
              <w:jc w:val="left"/>
            </w:pPr>
          </w:p>
        </w:tc>
        <w:tc>
          <w:tcPr>
            <w:tcW w:w="2440" w:type="dxa"/>
            <w:vAlign w:val="top"/>
          </w:tcPr>
          <w:p>
            <w:pPr>
              <w:tabs>
                <w:tab w:val="right" w:leader="dot" w:pos="2428"/>
              </w:tabs>
              <w:spacing w:before="0" w:after="0" w:line="408" w:lineRule="exact"/>
              <w:ind w:left="0" w:right="0" w:firstLine="0"/>
              <w:jc w:val="left"/>
            </w:pPr>
            <w:r>
              <w:tab/>
            </w:r>
          </w:p>
        </w:tc>
      </w:tr>
    </w:tbl>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576"/>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576"/>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576"/>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61.24.040(9)]</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Pr>
          <w:p>
            <w:pPr>
              <w:spacing w:before="0" w:after="0" w:line="408" w:lineRule="exact"/>
              <w:ind w:left="0" w:right="0" w:firstLine="0"/>
              <w:jc w:val="left"/>
            </w:pPr>
          </w:p>
        </w:tc>
        <w:tc>
          <w:tcPr>
            <w:gridSpan w:val="4"/>
            <w:tcW w:w="3660" w:type="dxa"/>
            <w:vAlign w:val="top"/>
          </w:tcPr>
          <w:p>
            <w:pPr>
              <w:tabs>
                <w:tab w:val="right" w:leader="dot" w:pos="3648"/>
              </w:tabs>
              <w:spacing w:before="0" w:after="0" w:line="408" w:lineRule="exact"/>
              <w:ind w:left="0" w:right="0" w:firstLine="0"/>
              <w:jc w:val="left"/>
            </w:pPr>
            <w:r>
              <w:tab/>
            </w:r>
          </w:p>
        </w:tc>
      </w:tr>
      <w:tr>
        <w:tc>
          <w:tcPr>
            <w:gridSpan w:val="2"/>
            <w:tcW w:w="1960" w:type="dxa"/>
            <w:vAlign w:val="top"/>
          </w:tcPr>
          <w:p>
            <w:pPr>
              <w:spacing w:before="0" w:after="0" w:line="408" w:lineRule="exact"/>
              <w:ind w:left="0" w:right="0" w:firstLine="0"/>
              <w:jc w:val="left"/>
            </w:pPr>
          </w:p>
        </w:tc>
        <w:tc>
          <w:tcPr>
            <w:gridSpan w:val="2"/>
            <w:tcW w:w="1420" w:type="dxa"/>
            <w:vAlign w:val="top"/>
          </w:tcPr>
          <w:p>
            <w:pPr>
              <w:tabs>
                <w:tab w:val="right" w:leader="dot" w:pos="1408"/>
              </w:tabs>
              <w:spacing w:before="0" w:after="0" w:line="408" w:lineRule="exact"/>
              <w:ind w:left="0" w:right="0" w:firstLine="0"/>
              <w:jc w:val="left"/>
            </w:pPr>
            <w:r>
              <w:tab/>
            </w:r>
            <w:r>
              <w:rPr>
                <w:rFonts w:ascii="Times New Roman" w:hAnsi="Times New Roman"/>
                <w:sz w:val="20"/>
              </w:rPr>
              <w:t xml:space="preserve"> ,</w:t>
            </w:r>
          </w:p>
        </w:tc>
        <w:tc>
          <w:tcPr>
            <w:tcW w:w="1480" w:type="dxa"/>
            <w:vAlign w:val="top"/>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p/>
        </w:tc>
        <w:tc>
          <w:tcPr>
            <w:tcW w:w="440" w:type="dxa"/>
            <w:vAlign w:val="top"/>
          </w:tcPr>
          <w:p>
            <w:pPr>
              <w:spacing w:before="0" w:after="0" w:line="408" w:lineRule="exact"/>
              <w:ind w:left="0" w:right="0" w:firstLine="0"/>
              <w:jc w:val="left"/>
            </w:pPr>
          </w:p>
        </w:tc>
      </w:tr>
      <w:tr>
        <w:tc>
          <w:tcPr>
            <w:gridSpan w:val="2"/>
            <w:tcW w:w="1960" w:type="dxa"/>
            <w:vAlign w:val="top"/>
          </w:tcPr>
          <w:p>
            <w:pPr>
              <w:spacing w:before="0" w:after="0" w:line="408" w:lineRule="exact"/>
              <w:ind w:left="0" w:right="0" w:firstLine="0"/>
              <w:jc w:val="left"/>
            </w:pPr>
          </w:p>
        </w:tc>
        <w:tc>
          <w:tcPr>
            <w:tcW w:w="980" w:type="dxa"/>
            <w:vAlign w:val="top"/>
          </w:tcPr>
          <w:p>
            <w:pPr>
              <w:tabs>
                <w:tab w:val="right" w:leader="dot" w:pos="968"/>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20"/>
              </w:rPr>
              <w:t xml:space="preserve">}</w:t>
            </w:r>
          </w:p>
        </w:tc>
        <w:tc>
          <w:tcPr>
            <w:tcW w:w="1480" w:type="dxa"/>
            <w:vAlign w:val="top"/>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(g) If the borrower received a letter under RCW 61.24.031, the notice specified in </w:t>
      </w:r>
      <w:r>
        <w:rPr>
          <w:u w:val="single"/>
        </w:rPr>
        <w:t xml:space="preserve">(f) of this</w:t>
      </w:r>
      <w:r>
        <w:rPr/>
        <w:t xml:space="preserve"> subsection </w:t>
      </w:r>
      <w:r>
        <w:t>((</w:t>
      </w:r>
      <w:r>
        <w:rPr>
          <w:strike/>
        </w:rPr>
        <w:t xml:space="preserve">(1)(f) of this section</w:t>
      </w:r>
      <w:r>
        <w:t>))</w:t>
      </w:r>
      <w:r>
        <w:rPr/>
        <w:t xml:space="preserve"> shall also include the following additional language:</w:t>
      </w:r>
    </w:p>
    <w:p>
      <w:pPr>
        <w:spacing w:before="120" w:after="0" w:line="408" w:lineRule="exact"/>
        <w:ind w:left="0" w:right="0" w:firstLine="576"/>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20 DAYS from the recording date on this notice to pursue mediation.</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576"/>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 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 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 site information from the department for inclusion in the notice;</w:t>
      </w:r>
    </w:p>
    <w:p>
      <w:pPr>
        <w:spacing w:before="0" w:after="0" w:line="408" w:lineRule="exact"/>
        <w:ind w:left="0" w:right="0" w:firstLine="576"/>
        <w:jc w:val="left"/>
      </w:pPr>
      <w:r>
        <w:rPr/>
        <w:t xml:space="preserve">(2) In addition to providing the borrower and grantor the notice of sale described in subsection (1)(f) of this section, the trustee shall include with the copy of the notice which is mailed to the grantor, a statement to the grantor in substantially the following form:</w:t>
      </w:r>
    </w:p>
    <w:p>
      <w:pPr>
        <w:spacing w:before="120" w:after="0" w:line="408" w:lineRule="exact"/>
        <w:ind w:left="0" w:right="0" w:firstLine="576"/>
        <w:jc w:val="center"/>
      </w:pPr>
      <w:r>
        <w:rPr/>
        <w:t xml:space="preserve">NOTICE OF FORECLOSURE</w:t>
      </w:r>
    </w:p>
    <w:p>
      <w:pPr>
        <w:spacing w:before="0" w:after="0" w:line="408" w:lineRule="exact"/>
        <w:ind w:left="0" w:right="0" w:firstLine="576"/>
        <w:jc w:val="center"/>
      </w:pPr>
      <w:r>
        <w:rPr/>
        <w:t xml:space="preserve">Pursuant to the Revised Code of Washington,</w:t>
      </w:r>
    </w:p>
    <w:p>
      <w:pPr>
        <w:spacing w:before="0" w:after="0" w:line="408" w:lineRule="exact"/>
        <w:ind w:left="0" w:right="0" w:firstLine="576"/>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owner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20"/>
              </w:rPr>
              <w:t xml:space="preserve"> . .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in the</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 . . . ./mo.:</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p>
        </w:tc>
        <w:tc>
          <w:tcPr>
            <w:tcW w:w="6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Pr>
          <w:p>
            <w:pPr>
              <w:spacing w:before="0" w:after="0" w:line="408" w:lineRule="exact"/>
              <w:ind w:left="0" w:right="0" w:firstLine="0"/>
              <w:jc w:val="center"/>
            </w:pPr>
          </w:p>
        </w:tc>
        <w:tc>
          <w:tcPr>
            <w:gridSpan w:val="2"/>
            <w:tcW w:w="1780" w:type="dxa"/>
            <w:vAlign w:val="top"/>
          </w:tcPr>
          <w:p>
            <w:pPr>
              <w:spacing w:before="0" w:after="0" w:line="408" w:lineRule="exact"/>
              <w:ind w:left="0" w:right="0" w:firstLine="0"/>
              <w:jc w:val="center"/>
            </w:pPr>
          </w:p>
        </w:tc>
      </w:tr>
      <w:tr>
        <w:tc>
          <w:tcPr>
            <w:tcW w:w="1640" w:type="dxa"/>
            <w:vAlign w:val="top"/>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 . . . . . .</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Pr>
          <w:p>
            <w:pPr>
              <w:spacing w:before="0" w:after="0" w:line="408" w:lineRule="exact"/>
              <w:ind w:left="0" w:right="0" w:firstLine="0"/>
              <w:jc w:val="left"/>
            </w:pPr>
            <w:r>
              <w:rPr>
                <w:rFonts w:ascii="Times New Roman" w:hAnsi="Times New Roman"/>
                <w:sz w:val="20"/>
              </w:rPr>
              <w:t xml:space="preserve">TOTALS</w:t>
            </w:r>
          </w:p>
        </w:tc>
        <w:tc>
          <w:tcPr>
            <w:tcW w:w="1440" w:type="dxa"/>
            <w:vAlign w:val="top"/>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Pr>
          <w:p>
            <w:pPr>
              <w:spacing w:before="0" w:after="0" w:line="408" w:lineRule="exact"/>
              <w:ind w:left="0" w:right="0" w:firstLine="0"/>
              <w:jc w:val="left"/>
            </w:pPr>
          </w:p>
        </w:tc>
        <w:tc>
          <w:tcPr>
            <w:gridSpan w:val="2"/>
            <w:tcW w:w="3880" w:type="dxa"/>
            <w:vAlign w:val="top"/>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tabs>
                <w:tab w:val="right" w:leader="dot" w:pos="968"/>
              </w:tabs>
              <w:spacing w:before="0" w:after="0" w:line="408" w:lineRule="exact"/>
              <w:ind w:left="0" w:right="0" w:firstLine="0"/>
              <w:jc w:val="left"/>
            </w:pPr>
            <w:r>
              <w:tab/>
            </w: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r>
        <w:tc>
          <w:tcPr>
            <w:tcW w:w="980" w:type="dxa"/>
            <w:vAlign w:val="top"/>
          </w:tcPr>
          <w:p>
            <w:pPr>
              <w:spacing w:before="0" w:after="0" w:line="408" w:lineRule="exact"/>
              <w:ind w:left="0" w:right="0" w:firstLine="0"/>
              <w:jc w:val="left"/>
            </w:pPr>
          </w:p>
        </w:tc>
        <w:tc>
          <w:tcPr>
            <w:tcW w:w="420" w:type="dxa"/>
            <w:vAlign w:val="top"/>
          </w:tcPr>
          <w:p>
            <w:pPr>
              <w:spacing w:before="0" w:after="0" w:line="408" w:lineRule="exact"/>
              <w:ind w:left="0" w:right="0" w:firstLine="0"/>
              <w:jc w:val="left"/>
            </w:pPr>
          </w:p>
        </w:tc>
        <w:tc>
          <w:tcPr>
            <w:tcW w:w="3460" w:type="dxa"/>
            <w:vAlign w:val="top"/>
          </w:tcPr>
          <w:p>
            <w:pPr>
              <w:tabs>
                <w:tab w:val="right" w:leader="dot" w:pos="3448"/>
              </w:tabs>
              <w:spacing w:before="0" w:after="0" w:line="408" w:lineRule="exact"/>
              <w:ind w:left="0" w:right="0" w:firstLine="0"/>
              <w:jc w:val="left"/>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ten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Pr>
          <w:p>
            <w:pPr>
              <w:spacing w:before="0" w:after="0" w:line="408" w:lineRule="exact"/>
              <w:ind w:left="0" w:right="0" w:firstLine="0"/>
              <w:jc w:val="left"/>
            </w:pPr>
          </w:p>
        </w:tc>
        <w:tc>
          <w:tcPr>
            <w:tcW w:w="920" w:type="dxa"/>
            <w:vAlign w:val="top"/>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Pr>
          <w:p>
            <w:pPr>
              <w:tabs>
                <w:tab w:val="right" w:leader="dot" w:pos="348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2"/>
            <w:tcW w:w="1540" w:type="dxa"/>
            <w:vAlign w:val="top"/>
          </w:tcPr>
          <w:p>
            <w:pPr>
              <w:spacing w:before="0" w:after="0" w:line="408" w:lineRule="exact"/>
              <w:ind w:left="0" w:right="0" w:firstLine="0"/>
              <w:jc w:val="left"/>
            </w:pPr>
          </w:p>
        </w:tc>
        <w:tc>
          <w:tcPr>
            <w:gridSpan w:val="2"/>
            <w:tcW w:w="2880" w:type="dxa"/>
            <w:vAlign w:val="top"/>
          </w:tcPr>
          <w:p>
            <w:pPr>
              <w:tabs>
                <w:tab w:val="right" w:leader="dot" w:pos="2868"/>
              </w:tabs>
              <w:spacing w:before="0" w:after="0" w:line="408" w:lineRule="exact"/>
              <w:ind w:left="0" w:right="0" w:firstLine="0"/>
              <w:jc w:val="left"/>
            </w:pPr>
            <w:r>
              <w:tab/>
            </w:r>
          </w:p>
        </w:tc>
      </w:tr>
      <w:tr>
        <w:tc>
          <w:tcPr>
            <w:tcW w:w="440" w:type="dxa"/>
            <w:vAlign w:val="top"/>
          </w:tcPr>
          <w:p>
            <w:pPr>
              <w:spacing w:before="0" w:after="0" w:line="408" w:lineRule="exact"/>
              <w:ind w:left="0" w:right="0" w:firstLine="0"/>
              <w:jc w:val="left"/>
            </w:pPr>
          </w:p>
        </w:tc>
        <w:tc>
          <w:tcPr>
            <w:gridSpan w:val="3"/>
            <w:tcW w:w="244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Pr>
          <w:p>
            <w:pPr>
              <w:tabs>
                <w:tab w:val="right" w:leader="dot" w:pos="1968"/>
              </w:tabs>
              <w:spacing w:before="0" w:after="0" w:line="408" w:lineRule="exact"/>
              <w:ind w:left="0" w:right="0" w:firstLine="0"/>
              <w:jc w:val="left"/>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(3) In addition, the trustee shall cause a copy of the notice of sale described in subsection (1)(f) of this section (excluding the acknowledgment) to be published in a legal newspaper in each county in which the property or any part thereof is situated, once on or between the thirty-fifth and twenty-eighth day before the date of sale, and once on or between the fourteenth and seventh day before the date of sale;</w:t>
      </w:r>
    </w:p>
    <w:p>
      <w:pPr>
        <w:spacing w:before="0" w:after="0" w:line="408" w:lineRule="exact"/>
        <w:ind w:left="0" w:right="0" w:firstLine="576"/>
        <w:jc w:val="left"/>
      </w:pPr>
      <w:r>
        <w:rPr/>
        <w:t xml:space="preserve">(4)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(5)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(6) The trustee has no obligation to, but may, for any cause the trustee deems advantageous, continue the sale for a period or periods not exceeding a total of one hundred twenty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(3)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(7) The purchaser shall forthwith pay the price bid and on payment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(8) The sale as authorized under this chapter shall not take place less than one hundred ninety days from the date of default in any of the obligations secured;</w:t>
      </w:r>
    </w:p>
    <w:p>
      <w:pPr>
        <w:spacing w:before="0" w:after="0" w:line="408" w:lineRule="exact"/>
        <w:ind w:left="0" w:right="0" w:firstLine="576"/>
        <w:jc w:val="left"/>
      </w:pPr>
      <w:r>
        <w:rPr/>
        <w:t xml:space="preserve">(9)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576"/>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(10)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2014 c 164 s 3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twenty days after the date a notice of sale has been recorded.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ten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twenty</w:t>
      </w:r>
      <w:r>
        <w:rPr/>
        <w:noBreakHyphen/>
      </w:r>
      <w:r>
        <w:rPr/>
        <w:t xml:space="preserve">three days of the department's notice that the parties have been referred to mediation, the borrower shall transmit the documents required for mediation to the mediator and the beneficiary. The required documents include an initial </w:t>
      </w:r>
      <w:r>
        <w:t>((</w:t>
      </w:r>
      <w:r>
        <w:rPr>
          <w:strike/>
        </w:rPr>
        <w:t xml:space="preserve">Making Home Affordable Application (HAMP) package or such other equivalent</w:t>
      </w:r>
      <w:r>
        <w:t>))</w:t>
      </w:r>
      <w:r>
        <w:rPr/>
        <w:t xml:space="preserve"> homeowner financial information worksheet as required by the department. </w:t>
      </w:r>
      <w:r>
        <w:t>((</w:t>
      </w:r>
      <w:r>
        <w:rPr>
          <w:strike/>
        </w:rPr>
        <w:t xml:space="preserve">In the event the department is required to create a worksheet,</w:t>
      </w:r>
      <w:r>
        <w:t>))</w:t>
      </w:r>
      <w:r>
        <w:rPr/>
        <w:t xml:space="preserve"> </w:t>
      </w:r>
      <w:r>
        <w:rPr>
          <w:u w:val="single"/>
        </w:rPr>
        <w:t xml:space="preserve">T</w:t>
      </w:r>
      <w:r>
        <w:rPr/>
        <w:t xml:space="preserve">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twenty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thirty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ninety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seventy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thirty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sixty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w:t>
      </w:r>
      <w:r>
        <w:t>((</w:t>
      </w:r>
      <w:r>
        <w:rPr>
          <w:strike/>
        </w:rPr>
        <w:t xml:space="preserve">, including the home affordable modification program (HAMP) as applicable to government-sponsored enterprise and nongovernment-sponsored enterprise loans</w:t>
      </w:r>
      <w:r>
        <w:t>))</w:t>
      </w:r>
      <w:r>
        <w:rPr/>
        <w:t xml:space="preserve"> and any </w:t>
      </w:r>
      <w:r>
        <w:t>((</w:t>
      </w:r>
      <w:r>
        <w:rPr>
          <w:strike/>
        </w:rPr>
        <w:t xml:space="preserve">HAMP-related</w:t>
      </w:r>
      <w:r>
        <w:t>))</w:t>
      </w:r>
      <w:r>
        <w:rPr/>
        <w:t xml:space="preserve"> modification program </w:t>
      </w:r>
      <w:r>
        <w:t>((</w:t>
      </w:r>
      <w:r>
        <w:rPr>
          <w:strike/>
        </w:rPr>
        <w:t xml:space="preserve">applicable</w:t>
      </w:r>
      <w:r>
        <w:t>))</w:t>
      </w:r>
      <w:r>
        <w:rPr/>
        <w:t xml:space="preserve"> </w:t>
      </w:r>
      <w:r>
        <w:rPr>
          <w:u w:val="single"/>
        </w:rPr>
        <w:t xml:space="preserve">related</w:t>
      </w:r>
      <w:r>
        <w:rPr/>
        <w:t xml:space="preserve">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ten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four hundred dollars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thirty calendar days from receipt of the department's letter referring the parties to mediation or pursuant to the mediator's instructions.</w:t>
      </w:r>
    </w:p>
    <w:p>
      <w:pPr>
        <w:spacing w:before="0" w:after="0" w:line="408" w:lineRule="exact"/>
        <w:ind w:left="0" w:right="0" w:firstLine="576"/>
        <w:jc w:val="left"/>
      </w:pPr>
      <w:r>
        <w:rPr/>
        <w:t xml:space="preserve">(18) Beginning December 1, 2012, and every year thereafter, the department shall report annually to the legislature on:</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
      <w:pPr>
        <w:jc w:val="center"/>
      </w:pPr>
      <w:r>
        <w:rPr>
          <w:b/>
        </w:rPr>
        <w:t>--- END ---</w:t>
      </w:r>
    </w:p>
    <w:sectPr>
      <w:pgNumType w:start="1"/>
      <w:footerReference xmlns:r="http://schemas.openxmlformats.org/officeDocument/2006/relationships" r:id="R2f1c09bf804649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c494413bfe46ea" /><Relationship Type="http://schemas.openxmlformats.org/officeDocument/2006/relationships/footer" Target="/word/footer.xml" Id="R2f1c09bf8046490d" /></Relationships>
</file>