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1c3964e3d84579" /></Relationships>
</file>

<file path=word/document.xml><?xml version="1.0" encoding="utf-8"?>
<w:document xmlns:w="http://schemas.openxmlformats.org/wordprocessingml/2006/main">
  <w:body>
    <w:p>
      <w:r>
        <w:t>H-2172.1</w:t>
      </w:r>
    </w:p>
    <w:p>
      <w:pPr>
        <w:jc w:val="center"/>
      </w:pPr>
      <w:r>
        <w:t>_______________________________________________</w:t>
      </w:r>
    </w:p>
    <w:p/>
    <w:p>
      <w:pPr>
        <w:jc w:val="center"/>
      </w:pPr>
      <w:r>
        <w:rPr>
          <w:b/>
        </w:rPr>
        <w:t>SUBSTITUTE HOUSE BILL 2126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Blake and Wilcox)</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community-based approach to provide assistance with nonlethal management methods to reduce livestock depredations by wolves; reenacting and amending RCW 43.79A.040; and adding a new chapter to Title 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provide resources to help livestock producers adapt their operations in light of the recovery of wolves on the landscape and a desire by many to increase use of nonlethal deterrence measures to reduce the probability of livestock depredations by wolves. The application of resources in support of these goals must respect livestock producers' values of independence, privacy, and local decision making. The legislature further recognizes that livestock producers have unique and valuable knowledge, occupy an important place in their local communities and the state's social fabric, and are critical partners in creating sound natural resource policies.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agriculture.</w:t>
      </w:r>
    </w:p>
    <w:p>
      <w:pPr>
        <w:spacing w:before="0" w:after="0" w:line="408" w:lineRule="exact"/>
        <w:ind w:left="0" w:right="0" w:firstLine="576"/>
        <w:jc w:val="left"/>
      </w:pPr>
      <w:r>
        <w:rPr/>
        <w:t xml:space="preserve">(2) "Director" means the director of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wolf-cattle management grant is created within the department. Funds from the grant program must be used only for the deployment of nonlethal deterrence resources, including equipment and tools, owned and strategically located locally.</w:t>
      </w:r>
    </w:p>
    <w:p>
      <w:pPr>
        <w:spacing w:before="0" w:after="0" w:line="408" w:lineRule="exact"/>
        <w:ind w:left="0" w:right="0" w:firstLine="576"/>
        <w:jc w:val="left"/>
      </w:pPr>
      <w:r>
        <w:rPr/>
        <w:t xml:space="preserve">(2)(a) A three-member advisory board is established to advise the department on the expenditure of the northeast Washington wolf-cattle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w:t>
      </w:r>
    </w:p>
    <w:p>
      <w:pPr>
        <w:spacing w:before="0" w:after="0" w:line="408" w:lineRule="exact"/>
        <w:ind w:left="0" w:right="0" w:firstLine="576"/>
        <w:jc w:val="left"/>
      </w:pPr>
      <w:r>
        <w:rPr/>
        <w:t xml:space="preserve">(ii) One Stevens county conservation district board member; and</w:t>
      </w:r>
    </w:p>
    <w:p>
      <w:pPr>
        <w:spacing w:before="0" w:after="0" w:line="408" w:lineRule="exact"/>
        <w:ind w:left="0" w:right="0" w:firstLine="576"/>
        <w:jc w:val="left"/>
      </w:pPr>
      <w:r>
        <w:rPr/>
        <w:t xml:space="preserve">(iii) One Pend Oreille conservation district board member.</w:t>
      </w:r>
    </w:p>
    <w:p>
      <w:pPr>
        <w:spacing w:before="0" w:after="0" w:line="408" w:lineRule="exact"/>
        <w:ind w:left="0" w:right="0" w:firstLine="576"/>
        <w:jc w:val="left"/>
      </w:pPr>
      <w:r>
        <w:rPr/>
        <w:t xml:space="preserve">(b) If no board member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the deployment of nonlethal deterrence resources, including equipment and tools, owned and strategically located locally.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wolf-cattle management account is created as a nonappropriated account in the custody of the state treasurer. All receipts from the northeast Washington wolf-cattle management grant must be deposited into the account. Expenditures from the account may be used only for the deployment of nonlethal wolf deterrence resources as described in section 3 of this act. Only the director may authorize expenditures from the account in consultation with the advisory board created in section 3 of this act.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board of directors created in section 3 of this act may solicit and receive gifts and grants from public and private sources for the purposes of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rPr>
          <w:u w:val="single"/>
        </w:rPr>
        <w:t xml:space="preserve">the northeast Washington wolf-cattle management account,</w:t>
      </w:r>
      <w:r>
        <w:rPr/>
        <w:t xml:space="preserve">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92d6aef71bcd45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1ddace2beb4460" /><Relationship Type="http://schemas.openxmlformats.org/officeDocument/2006/relationships/footer" Target="/word/footer.xml" Id="R92d6aef71bcd4577" /></Relationships>
</file>