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1f81e45120462f" /></Relationships>
</file>

<file path=word/document.xml><?xml version="1.0" encoding="utf-8"?>
<w:document xmlns:w="http://schemas.openxmlformats.org/wordprocessingml/2006/main">
  <w:body>
    <w:p>
      <w:r>
        <w:t>H-2314.2</w:t>
      </w:r>
    </w:p>
    <w:p>
      <w:pPr>
        <w:jc w:val="center"/>
      </w:pPr>
      <w:r>
        <w:t>_______________________________________________</w:t>
      </w:r>
    </w:p>
    <w:p/>
    <w:p>
      <w:pPr>
        <w:jc w:val="center"/>
      </w:pPr>
      <w:r>
        <w:rPr>
          <w:b/>
        </w:rPr>
        <w:t>HOUSE BILL 2147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Pellicciotti, Irwin, Kilduff, Kloba, Goodman, Clibborn, Sells, Lovick, Reeves, Harmsworth, Graves, Springer, Stanford, Ryu, Pollet, Orwall, Senn, Sullivan, Dolan, Muri, Orcutt, Hargrove, Farrell, Macri, and Santos</w:t>
      </w:r>
    </w:p>
    <w:p/>
    <w:p>
      <w:r>
        <w:rPr>
          <w:t xml:space="preserve">Read first time 03/10/17.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taxpayer relief for persons subject to a motor vehicle excise tax imposed by a regional transit authority; amending RCW 81.104.160 and 82.44.035;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2015 3rd sp.s. c 44 s 319 are each amended to read as follows:</w:t>
      </w:r>
    </w:p>
    <w:p>
      <w:pPr>
        <w:spacing w:before="0" w:after="0" w:line="408" w:lineRule="exact"/>
        <w:ind w:left="0" w:right="0" w:firstLine="576"/>
        <w:jc w:val="left"/>
      </w:pPr>
      <w:r>
        <w:rPr/>
        <w:t xml:space="preserve">(1)</w:t>
      </w:r>
      <w:r>
        <w:rPr>
          <w:u w:val="single"/>
        </w:rPr>
        <w:t xml:space="preserve">(a)</w:t>
      </w:r>
      <w:r>
        <w:rPr/>
        <w:t xml:space="preserve"> Regional transit authorities that include a county with a population of more than one million five hundred thousand may submit an authorizing proposition to the voters, and if approved, may levy and collect an excise tax, at a rate approved by the voters, but not exceeding eight-tenths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July 15, 2015, if the tax will terminate on the date bond debt to which the tax is pledged is repaid. This tax does not apply to vehicles licensed under RCW 46.16A.455 except vehicles with an unladen weight of six thousand pounds or less, RCW 46.16A.425 or 46.17.335(2). </w:t>
      </w:r>
      <w:r>
        <w:rPr>
          <w:u w:val="single"/>
        </w:rPr>
        <w:t xml:space="preserve">Except as provided in (b) of this subsection, and n</w:t>
      </w:r>
      <w:r>
        <w:rPr/>
        <w:t xml:space="preserve">otwithstanding any other provision of this subsection or chapter 82.44 RCW, a motor vehicle excise tax imposed by a regional transit authority before or after July 15, 2015, must comply with chapter 82.44 RCW as it existed on January 1, 1996, until December 31st of the year in which the regional transit authority repays bond debt to which a motor vehicle excise tax was pledged before July 15, 2015. Motor vehicle taxes collected by regional transit authorities after December 31st of the year in which a regional transit authority repays bond debt to which a motor vehicle excise tax was pledged before July 15, 2015, must comply with chapter 82.44 RCW as it existed on the date the tax was approved by voters.</w:t>
      </w:r>
    </w:p>
    <w:p>
      <w:pPr>
        <w:spacing w:before="0" w:after="0" w:line="408" w:lineRule="exact"/>
        <w:ind w:left="0" w:right="0" w:firstLine="576"/>
        <w:jc w:val="left"/>
      </w:pPr>
      <w:r>
        <w:rPr>
          <w:u w:val="single"/>
        </w:rPr>
        <w:t xml:space="preserve">(b) A motor vehicle excise tax imposed by a regional transit authority after July 15, 2015, must comply with chapter 82.44 RCW as it existed on January 1, 1996, until December 31st of the year in which the regional transit authority repays bond debt to which a motor vehicle excise tax was pledged before July 15, 2015, only to the extent necessary to repay bond debt incurred before January 1, 2017. With respect to bond debt incurred on or after January 1, 2017, and to which the motor vehicle excise tax is pledged, the tax must comply with chapter 82.44 RCW as it existed on the date the tax was approved by voters.</w:t>
      </w:r>
    </w:p>
    <w:p>
      <w:pPr>
        <w:spacing w:before="0" w:after="0" w:line="408" w:lineRule="exact"/>
        <w:ind w:left="0" w:right="0" w:firstLine="576"/>
        <w:jc w:val="left"/>
      </w:pPr>
      <w:r>
        <w:rPr/>
        <w:t xml:space="preserve">(2)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may not exceed 2.172 percent. The rate of tax imposed under this subsection must bear the same ratio of the 2.172 percent authorized that the rate imposed under subsection (1) of this section bears to the rate authorized under subsection (1) of this section. The base of the tax is the selling price in the case of a sales tax or the rental value of the vehicle used in the case of a use tax.</w:t>
      </w:r>
    </w:p>
    <w:p>
      <w:pPr>
        <w:spacing w:before="0" w:after="0" w:line="408" w:lineRule="exact"/>
        <w:ind w:left="0" w:right="0" w:firstLine="576"/>
        <w:jc w:val="left"/>
      </w:pPr>
      <w:r>
        <w:rPr/>
        <w:t xml:space="preserve">(3)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rPr>
        <w:t xml:space="preserve">Pierce County et al. v. State</w:t>
      </w:r>
      <w:r>
        <w:rPr/>
        <w:t xml:space="preserve">, 159 Wn.2d 16, 148 P.3d 1002 (2006). In the case of bonds that were previously issued, the motor vehicle excise tax must comply with chapter 82.44 RCW as it existed on January 1, 1996.</w:t>
      </w:r>
    </w:p>
    <w:p>
      <w:pPr>
        <w:spacing w:before="0" w:after="0" w:line="408" w:lineRule="exact"/>
        <w:ind w:left="0" w:right="0" w:firstLine="576"/>
        <w:jc w:val="left"/>
      </w:pPr>
      <w:r>
        <w:rPr/>
        <w:t xml:space="preserve">(4)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035</w:t>
      </w:r>
      <w:r>
        <w:rPr/>
        <w:t xml:space="preserve"> and 2010 c 161 s 910 are each amended to read as follows:</w:t>
      </w:r>
    </w:p>
    <w:p>
      <w:pPr>
        <w:spacing w:before="0" w:after="0" w:line="408" w:lineRule="exact"/>
        <w:ind w:left="0" w:right="0" w:firstLine="576"/>
        <w:jc w:val="left"/>
      </w:pPr>
      <w:r>
        <w:rPr/>
        <w:t xml:space="preserve">(1) For the purpose of determining any locally imposed motor vehicle excise tax, </w:t>
      </w:r>
      <w:r>
        <w:rPr>
          <w:u w:val="single"/>
        </w:rPr>
        <w:t xml:space="preserve">except as provided in RCW 81.104.160,</w:t>
      </w:r>
      <w:r>
        <w:rPr/>
        <w:t xml:space="preserve"> the value of a truck or trailer </w:t>
      </w:r>
      <w:r>
        <w:t>((</w:t>
      </w:r>
      <w:r>
        <w:rPr>
          <w:strike/>
        </w:rPr>
        <w:t xml:space="preserve">shall be</w:t>
      </w:r>
      <w:r>
        <w:t>))</w:t>
      </w:r>
      <w:r>
        <w:rPr/>
        <w:t xml:space="preserve"> </w:t>
      </w:r>
      <w:r>
        <w:rPr>
          <w:u w:val="single"/>
        </w:rPr>
        <w:t xml:space="preserve">is</w:t>
      </w:r>
      <w:r>
        <w:rPr/>
        <w:t xml:space="preserve"> the latest purchase price of the vehicle, excluding applicable federal excise taxes, state and local sales or use taxes, transportation or shipping costs, or preparatory or delivery costs, multiplied by the following percentage based on year of service of the vehicle since last sale. The latest purchase year shall be considered the first year of service.</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YEAR OF SERVICE</w:t>
            </w:r>
          </w:p>
        </w:tc>
        <w:tc>
          <w:tcPr>
            <w:tcW w:w="2440" w:type="dxa"/>
            <w:vAlign w:val="top"/>
          </w:tcPr>
          <w:p>
            <w:pPr>
              <w:spacing w:before="0" w:after="0" w:line="408" w:lineRule="exact"/>
              <w:ind w:left="0" w:right="0" w:firstLine="0"/>
              <w:jc w:val="left"/>
            </w:pPr>
            <w:r>
              <w:rPr>
                <w:rFonts w:ascii="Times New Roman" w:hAnsi="Times New Roman"/>
                <w:sz w:val="20"/>
              </w:rPr>
              <w:t xml:space="preserve">PERCENTAGE</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w:t>
            </w:r>
          </w:p>
        </w:tc>
        <w:tc>
          <w:tcPr>
            <w:tcW w:w="2440" w:type="dxa"/>
            <w:vAlign w:val="top"/>
          </w:tcPr>
          <w:p>
            <w:pPr>
              <w:spacing w:before="0" w:after="0" w:line="408" w:lineRule="exact"/>
              <w:ind w:left="0" w:right="0" w:firstLine="0"/>
              <w:jc w:val="left"/>
            </w:pPr>
            <w:r>
              <w:rPr>
                <w:rFonts w:ascii="Times New Roman" w:hAnsi="Times New Roman"/>
                <w:sz w:val="20"/>
              </w:rPr>
              <w:t xml:space="preserve">100</w:t>
            </w:r>
          </w:p>
        </w:tc>
      </w:tr>
      <w:tr>
        <w:tc>
          <w:tcPr>
            <w:tcW w:w="2420" w:type="dxa"/>
            <w:vAlign w:val="top"/>
          </w:tcPr>
          <w:p>
            <w:pPr>
              <w:spacing w:before="0" w:after="0" w:line="408" w:lineRule="exact"/>
              <w:ind w:left="0" w:right="0" w:firstLine="0"/>
              <w:jc w:val="center"/>
            </w:pPr>
            <w:r>
              <w:rPr>
                <w:rFonts w:ascii="Times New Roman" w:hAnsi="Times New Roman"/>
                <w:sz w:val="20"/>
              </w:rPr>
              <w:t xml:space="preserve">2</w:t>
            </w:r>
          </w:p>
        </w:tc>
        <w:tc>
          <w:tcPr>
            <w:tcW w:w="2440" w:type="dxa"/>
            <w:vAlign w:val="top"/>
          </w:tcPr>
          <w:p>
            <w:pPr>
              <w:spacing w:before="0" w:after="0" w:line="408" w:lineRule="exact"/>
              <w:ind w:left="0" w:right="0" w:firstLine="0"/>
              <w:jc w:val="left"/>
            </w:pPr>
            <w:r>
              <w:rPr>
                <w:rFonts w:ascii="Times New Roman" w:hAnsi="Times New Roman"/>
                <w:sz w:val="20"/>
              </w:rPr>
              <w:t xml:space="preserve">81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3</w:t>
            </w:r>
          </w:p>
        </w:tc>
        <w:tc>
          <w:tcPr>
            <w:tcW w:w="2440" w:type="dxa"/>
            <w:vAlign w:val="top"/>
          </w:tcPr>
          <w:p>
            <w:pPr>
              <w:spacing w:before="0" w:after="0" w:line="408" w:lineRule="exact"/>
              <w:ind w:left="0" w:right="0" w:firstLine="0"/>
              <w:jc w:val="left"/>
            </w:pPr>
            <w:r>
              <w:rPr>
                <w:rFonts w:ascii="Times New Roman" w:hAnsi="Times New Roman"/>
                <w:sz w:val="20"/>
              </w:rPr>
              <w:t xml:space="preserve">67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4</w:t>
            </w:r>
          </w:p>
        </w:tc>
        <w:tc>
          <w:tcPr>
            <w:tcW w:w="2440" w:type="dxa"/>
            <w:vAlign w:val="top"/>
          </w:tcPr>
          <w:p>
            <w:pPr>
              <w:spacing w:before="0" w:after="0" w:line="408" w:lineRule="exact"/>
              <w:ind w:left="0" w:right="0" w:firstLine="0"/>
              <w:jc w:val="left"/>
            </w:pPr>
            <w:r>
              <w:rPr>
                <w:rFonts w:ascii="Times New Roman" w:hAnsi="Times New Roman"/>
                <w:sz w:val="20"/>
              </w:rPr>
              <w:t xml:space="preserve">55</w:t>
            </w:r>
          </w:p>
        </w:tc>
      </w:tr>
      <w:tr>
        <w:tc>
          <w:tcPr>
            <w:tcW w:w="2420" w:type="dxa"/>
            <w:vAlign w:val="top"/>
          </w:tcPr>
          <w:p>
            <w:pPr>
              <w:spacing w:before="0" w:after="0" w:line="408" w:lineRule="exact"/>
              <w:ind w:left="0" w:right="0" w:firstLine="0"/>
              <w:jc w:val="center"/>
            </w:pPr>
            <w:r>
              <w:rPr>
                <w:rFonts w:ascii="Times New Roman" w:hAnsi="Times New Roman"/>
                <w:sz w:val="20"/>
              </w:rPr>
              <w:t xml:space="preserve">5</w:t>
            </w:r>
          </w:p>
        </w:tc>
        <w:tc>
          <w:tcPr>
            <w:tcW w:w="2440" w:type="dxa"/>
            <w:vAlign w:val="top"/>
          </w:tcPr>
          <w:p>
            <w:pPr>
              <w:spacing w:before="0" w:after="0" w:line="408" w:lineRule="exact"/>
              <w:ind w:left="0" w:right="0" w:firstLine="0"/>
              <w:jc w:val="left"/>
            </w:pPr>
            <w:r>
              <w:rPr>
                <w:rFonts w:ascii="Times New Roman" w:hAnsi="Times New Roman"/>
                <w:sz w:val="20"/>
              </w:rPr>
              <w:t xml:space="preserve">45</w:t>
            </w:r>
          </w:p>
        </w:tc>
      </w:tr>
      <w:tr>
        <w:tc>
          <w:tcPr>
            <w:tcW w:w="2420" w:type="dxa"/>
            <w:vAlign w:val="top"/>
          </w:tcPr>
          <w:p>
            <w:pPr>
              <w:spacing w:before="0" w:after="0" w:line="408" w:lineRule="exact"/>
              <w:ind w:left="0" w:right="0" w:firstLine="0"/>
              <w:jc w:val="center"/>
            </w:pPr>
            <w:r>
              <w:rPr>
                <w:rFonts w:ascii="Times New Roman" w:hAnsi="Times New Roman"/>
                <w:sz w:val="20"/>
              </w:rPr>
              <w:t xml:space="preserve">6</w:t>
            </w:r>
          </w:p>
        </w:tc>
        <w:tc>
          <w:tcPr>
            <w:tcW w:w="2440" w:type="dxa"/>
            <w:vAlign w:val="top"/>
          </w:tcPr>
          <w:p>
            <w:pPr>
              <w:spacing w:before="0" w:after="0" w:line="408" w:lineRule="exact"/>
              <w:ind w:left="0" w:right="0" w:firstLine="0"/>
              <w:jc w:val="left"/>
            </w:pPr>
            <w:r>
              <w:rPr>
                <w:rFonts w:ascii="Times New Roman" w:hAnsi="Times New Roman"/>
                <w:sz w:val="20"/>
              </w:rPr>
              <w:t xml:space="preserve">37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7</w:t>
            </w:r>
          </w:p>
        </w:tc>
        <w:tc>
          <w:tcPr>
            <w:tcW w:w="2440" w:type="dxa"/>
            <w:vAlign w:val="top"/>
          </w:tcPr>
          <w:p>
            <w:pPr>
              <w:spacing w:before="0" w:after="0" w:line="408" w:lineRule="exact"/>
              <w:ind w:left="0" w:right="0" w:firstLine="0"/>
              <w:jc w:val="left"/>
            </w:pPr>
            <w:r>
              <w:rPr>
                <w:rFonts w:ascii="Times New Roman" w:hAnsi="Times New Roman"/>
                <w:sz w:val="20"/>
              </w:rPr>
              <w:t xml:space="preserve">30</w:t>
            </w:r>
          </w:p>
        </w:tc>
      </w:tr>
      <w:tr>
        <w:tc>
          <w:tcPr>
            <w:tcW w:w="2420" w:type="dxa"/>
            <w:vAlign w:val="top"/>
          </w:tcPr>
          <w:p>
            <w:pPr>
              <w:spacing w:before="0" w:after="0" w:line="408" w:lineRule="exact"/>
              <w:ind w:left="0" w:right="0" w:firstLine="0"/>
              <w:jc w:val="center"/>
            </w:pPr>
            <w:r>
              <w:rPr>
                <w:rFonts w:ascii="Times New Roman" w:hAnsi="Times New Roman"/>
                <w:sz w:val="20"/>
              </w:rPr>
              <w:t xml:space="preserve">8</w:t>
            </w:r>
          </w:p>
        </w:tc>
        <w:tc>
          <w:tcPr>
            <w:tcW w:w="2440" w:type="dxa"/>
            <w:vAlign w:val="top"/>
          </w:tcPr>
          <w:p>
            <w:pPr>
              <w:spacing w:before="0" w:after="0" w:line="408" w:lineRule="exact"/>
              <w:ind w:left="0" w:right="0" w:firstLine="0"/>
              <w:jc w:val="left"/>
            </w:pPr>
            <w:r>
              <w:rPr>
                <w:rFonts w:ascii="Times New Roman" w:hAnsi="Times New Roman"/>
                <w:sz w:val="20"/>
              </w:rPr>
              <w:t xml:space="preserve">25</w:t>
            </w:r>
          </w:p>
        </w:tc>
      </w:tr>
      <w:tr>
        <w:tc>
          <w:tcPr>
            <w:tcW w:w="2420" w:type="dxa"/>
            <w:vAlign w:val="top"/>
          </w:tcPr>
          <w:p>
            <w:pPr>
              <w:spacing w:before="0" w:after="0" w:line="408" w:lineRule="exact"/>
              <w:ind w:left="0" w:right="0" w:firstLine="0"/>
              <w:jc w:val="center"/>
            </w:pPr>
            <w:r>
              <w:rPr>
                <w:rFonts w:ascii="Times New Roman" w:hAnsi="Times New Roman"/>
                <w:sz w:val="20"/>
              </w:rPr>
              <w:t xml:space="preserve">9</w:t>
            </w:r>
          </w:p>
        </w:tc>
        <w:tc>
          <w:tcPr>
            <w:tcW w:w="2440" w:type="dxa"/>
            <w:vAlign w:val="top"/>
          </w:tcPr>
          <w:p>
            <w:pPr>
              <w:spacing w:before="0" w:after="0" w:line="408" w:lineRule="exact"/>
              <w:ind w:left="0" w:right="0" w:firstLine="0"/>
              <w:jc w:val="left"/>
            </w:pPr>
            <w:r>
              <w:rPr>
                <w:rFonts w:ascii="Times New Roman" w:hAnsi="Times New Roman"/>
                <w:sz w:val="20"/>
              </w:rPr>
              <w:t xml:space="preserve">20</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10</w:t>
            </w:r>
          </w:p>
        </w:tc>
        <w:tc>
          <w:tcPr>
            <w:tcW w:w="2440" w:type="dxa"/>
            <w:vAlign w:val="top"/>
          </w:tcPr>
          <w:p>
            <w:pPr>
              <w:spacing w:before="0" w:after="0" w:line="408" w:lineRule="exact"/>
              <w:ind w:left="0" w:right="0" w:firstLine="0"/>
              <w:jc w:val="left"/>
            </w:pPr>
            <w:r>
              <w:rPr>
                <w:rFonts w:ascii="Times New Roman" w:hAnsi="Times New Roman"/>
                <w:sz w:val="20"/>
              </w:rPr>
              <w:t xml:space="preserve">16</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11</w:t>
            </w:r>
          </w:p>
        </w:tc>
        <w:tc>
          <w:tcPr>
            <w:tcW w:w="2440" w:type="dxa"/>
            <w:vAlign w:val="top"/>
          </w:tcPr>
          <w:p>
            <w:pPr>
              <w:spacing w:before="0" w:after="0" w:line="408" w:lineRule="exact"/>
              <w:ind w:left="0" w:right="0" w:firstLine="0"/>
              <w:jc w:val="left"/>
            </w:pPr>
            <w:r>
              <w:rPr>
                <w:rFonts w:ascii="Times New Roman" w:hAnsi="Times New Roman"/>
                <w:sz w:val="20"/>
              </w:rPr>
              <w:t xml:space="preserve">13</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12</w:t>
            </w:r>
          </w:p>
        </w:tc>
        <w:tc>
          <w:tcPr>
            <w:tcW w:w="2440" w:type="dxa"/>
            <w:vAlign w:val="top"/>
          </w:tcPr>
          <w:p>
            <w:pPr>
              <w:spacing w:before="0" w:after="0" w:line="408" w:lineRule="exact"/>
              <w:ind w:left="0" w:right="0" w:firstLine="0"/>
              <w:jc w:val="left"/>
            </w:pPr>
            <w:r>
              <w:rPr>
                <w:rFonts w:ascii="Times New Roman" w:hAnsi="Times New Roman"/>
                <w:sz w:val="20"/>
              </w:rPr>
              <w:t xml:space="preserve">11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13</w:t>
            </w:r>
          </w:p>
        </w:tc>
        <w:tc>
          <w:tcPr>
            <w:tcW w:w="2440" w:type="dxa"/>
            <w:vAlign w:val="top"/>
          </w:tcPr>
          <w:p>
            <w:pPr>
              <w:spacing w:before="0" w:after="0" w:line="408" w:lineRule="exact"/>
              <w:ind w:left="0" w:right="0" w:firstLine="0"/>
              <w:jc w:val="left"/>
            </w:pPr>
            <w:r>
              <w:rPr>
                <w:rFonts w:ascii="Times New Roman" w:hAnsi="Times New Roman"/>
                <w:sz w:val="20"/>
              </w:rPr>
              <w:t xml:space="preserve">9</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14</w:t>
            </w:r>
          </w:p>
        </w:tc>
        <w:tc>
          <w:tcPr>
            <w:tcW w:w="2440" w:type="dxa"/>
            <w:vAlign w:val="top"/>
          </w:tcPr>
          <w:p>
            <w:pPr>
              <w:spacing w:before="0" w:after="0" w:line="408" w:lineRule="exact"/>
              <w:ind w:left="0" w:right="0" w:firstLine="0"/>
              <w:jc w:val="left"/>
            </w:pPr>
            <w:r>
              <w:rPr>
                <w:rFonts w:ascii="Times New Roman" w:hAnsi="Times New Roman"/>
                <w:sz w:val="20"/>
              </w:rPr>
              <w:t xml:space="preserve">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15</w:t>
            </w:r>
          </w:p>
        </w:tc>
        <w:tc>
          <w:tcPr>
            <w:tcW w:w="2440" w:type="dxa"/>
            <w:vAlign w:val="top"/>
          </w:tcPr>
          <w:p>
            <w:pPr>
              <w:spacing w:before="0" w:after="0" w:line="408" w:lineRule="exact"/>
              <w:ind w:left="0" w:right="0" w:firstLine="0"/>
              <w:jc w:val="left"/>
            </w:pPr>
            <w:r>
              <w:rPr>
                <w:rFonts w:ascii="Times New Roman" w:hAnsi="Times New Roman"/>
                <w:sz w:val="20"/>
              </w:rPr>
              <w:t xml:space="preserve">3</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16 or older</w:t>
            </w:r>
          </w:p>
        </w:tc>
        <w:tc>
          <w:tcPr>
            <w:tcW w:w="2440" w:type="dxa"/>
            <w:vAlign w:val="top"/>
          </w:tcPr>
          <w:p>
            <w:pPr>
              <w:spacing w:before="0" w:after="0" w:line="408" w:lineRule="exact"/>
              <w:ind w:left="0" w:right="0" w:firstLine="0"/>
              <w:jc w:val="left"/>
            </w:pPr>
            <w:r>
              <w:rPr>
                <w:rFonts w:ascii="Times New Roman" w:hAnsi="Times New Roman"/>
                <w:sz w:val="20"/>
              </w:rPr>
              <w:t xml:space="preserve">0</w:t>
            </w:r>
          </w:p>
        </w:tc>
      </w:tr>
    </w:tbl>
    <w:p>
      <w:pPr>
        <w:spacing w:before="120" w:after="0" w:line="408" w:lineRule="exact"/>
        <w:ind w:left="0" w:right="0" w:firstLine="576"/>
        <w:jc w:val="left"/>
      </w:pPr>
      <w:r>
        <w:rPr/>
        <w:t xml:space="preserve">(2) The reissuance of a certificate of title and registration certificate for a truck or trailer because of the installation of body or special equipment shall be treated as a sale, and the value of the truck or trailer at that time, as determined by the department from such information as may be available, shall be considered the latest purchase price.</w:t>
      </w:r>
    </w:p>
    <w:p>
      <w:pPr>
        <w:spacing w:before="0" w:after="0" w:line="408" w:lineRule="exact"/>
        <w:ind w:left="0" w:right="0" w:firstLine="576"/>
        <w:jc w:val="left"/>
      </w:pPr>
      <w:r>
        <w:rPr/>
        <w:t xml:space="preserve">(3)</w:t>
      </w:r>
      <w:r>
        <w:rPr>
          <w:u w:val="single"/>
        </w:rPr>
        <w:t xml:space="preserve">(a)</w:t>
      </w:r>
      <w:r>
        <w:rPr/>
        <w:t xml:space="preserve"> For the purpose of determining any locally imposed motor vehicle excise tax, </w:t>
      </w:r>
      <w:r>
        <w:rPr>
          <w:u w:val="single"/>
        </w:rPr>
        <w:t xml:space="preserve">except as provided in RCW 81.104.160,</w:t>
      </w:r>
      <w:r>
        <w:rPr/>
        <w:t xml:space="preserve"> the value of a vehicle other than a truck or trailer </w:t>
      </w:r>
      <w:r>
        <w:t>((</w:t>
      </w:r>
      <w:r>
        <w:rPr>
          <w:strike/>
        </w:rPr>
        <w:t xml:space="preserve">shall be</w:t>
      </w:r>
      <w:r>
        <w:t>))</w:t>
      </w:r>
      <w:r>
        <w:rPr/>
        <w:t xml:space="preserve"> </w:t>
      </w:r>
      <w:r>
        <w:rPr>
          <w:u w:val="single"/>
        </w:rPr>
        <w:t xml:space="preserve">is</w:t>
      </w:r>
      <w:r>
        <w:rPr/>
        <w:t xml:space="preserve"> eighty-five percent of the manufacturer's base suggested retail price of the vehicle when first offered for sale as a new vehicle, excluding any optional equipment, applicable federal excise taxes, state and local sales or use taxes, transportation or shipping costs, or preparatory or delivery costs, multiplied by the applicable percentage listed in this subsection (3) based on year of service of the vehicle.</w:t>
      </w:r>
    </w:p>
    <w:p>
      <w:pPr>
        <w:spacing w:before="0" w:after="0" w:line="408" w:lineRule="exact"/>
        <w:ind w:left="0" w:right="0" w:firstLine="576"/>
        <w:jc w:val="left"/>
      </w:pPr>
      <w:r>
        <w:rPr>
          <w:u w:val="single"/>
        </w:rPr>
        <w:t xml:space="preserve">(b)</w:t>
      </w:r>
      <w:r>
        <w:rPr/>
        <w:t xml:space="preserve"> If the manufacturer's base suggested retail price is unavailable or otherwise unascertainable at the time of initial registration in this state, the department shall determine a value equivalent to a manufacturer's base suggested retail price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department shall determine a value using any information that may be available, including any guidebook, report, or compendium of recognized standing in the automotive industry or the selling price and year of sale of the vehicle. The department may use an appraisal by the county assessor. In valuing a vehicle for which the current value or selling price is not indicative of the value of similar vehicles of the same year and model, the department shall establish a value that more closely represents the average value of similar vehicles of the same year and model. The value determined in this subsection (3)</w:t>
      </w:r>
      <w:r>
        <w:t>((</w:t>
      </w:r>
      <w:r>
        <w:rPr>
          <w:strike/>
        </w:rPr>
        <w:t xml:space="preserve">(a)</w:t>
      </w:r>
      <w:r>
        <w:t>))</w:t>
      </w:r>
      <w:r>
        <w:rPr/>
        <w:t xml:space="preserve"> </w:t>
      </w:r>
      <w:r>
        <w:rPr>
          <w:u w:val="single"/>
        </w:rPr>
        <w:t xml:space="preserve">(b)(i)</w:t>
      </w:r>
      <w:r>
        <w:rPr/>
        <w:t xml:space="preserve"> shall be divided by the applicable percentage listed in (b)</w:t>
      </w:r>
      <w:r>
        <w:rPr>
          <w:u w:val="single"/>
        </w:rPr>
        <w:t xml:space="preserve">(ii)</w:t>
      </w:r>
      <w:r>
        <w:rPr/>
        <w:t xml:space="preserve"> of this subsection (3) to establish a value equivalent to a manufacturer's base suggested retail price and this value shall be multiplied by eighty-five percent.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year the vehicle is offered for sale as a new vehicle shall be considered the first year of service.</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YEAR OF SERVICE</w:t>
            </w:r>
          </w:p>
        </w:tc>
        <w:tc>
          <w:tcPr>
            <w:tcW w:w="2440" w:type="dxa"/>
            <w:vAlign w:val="top"/>
          </w:tcPr>
          <w:p>
            <w:pPr>
              <w:spacing w:before="0" w:after="0" w:line="408" w:lineRule="exact"/>
              <w:ind w:left="0" w:right="0" w:firstLine="0"/>
              <w:jc w:val="left"/>
            </w:pPr>
            <w:r>
              <w:rPr>
                <w:rFonts w:ascii="Times New Roman" w:hAnsi="Times New Roman"/>
                <w:sz w:val="20"/>
              </w:rPr>
              <w:t xml:space="preserve">PERCENTAGE</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w:t>
            </w:r>
          </w:p>
        </w:tc>
        <w:tc>
          <w:tcPr>
            <w:tcW w:w="2440" w:type="dxa"/>
            <w:vAlign w:val="top"/>
          </w:tcPr>
          <w:p>
            <w:pPr>
              <w:spacing w:before="0" w:after="0" w:line="408" w:lineRule="exact"/>
              <w:ind w:left="0" w:right="0" w:firstLine="0"/>
              <w:jc w:val="left"/>
            </w:pPr>
            <w:r>
              <w:rPr>
                <w:rFonts w:ascii="Times New Roman" w:hAnsi="Times New Roman"/>
                <w:sz w:val="20"/>
              </w:rPr>
              <w:t xml:space="preserve">100</w:t>
            </w:r>
          </w:p>
        </w:tc>
      </w:tr>
      <w:tr>
        <w:tc>
          <w:tcPr>
            <w:tcW w:w="2420" w:type="dxa"/>
            <w:vAlign w:val="top"/>
          </w:tcPr>
          <w:p>
            <w:pPr>
              <w:spacing w:before="0" w:after="0" w:line="408" w:lineRule="exact"/>
              <w:ind w:left="0" w:right="0" w:firstLine="0"/>
              <w:jc w:val="center"/>
            </w:pPr>
            <w:r>
              <w:rPr>
                <w:rFonts w:ascii="Times New Roman" w:hAnsi="Times New Roman"/>
                <w:sz w:val="20"/>
              </w:rPr>
              <w:t xml:space="preserve">2</w:t>
            </w:r>
          </w:p>
        </w:tc>
        <w:tc>
          <w:tcPr>
            <w:tcW w:w="2440" w:type="dxa"/>
            <w:vAlign w:val="top"/>
          </w:tcPr>
          <w:p>
            <w:pPr>
              <w:spacing w:before="0" w:after="0" w:line="408" w:lineRule="exact"/>
              <w:ind w:left="0" w:right="0" w:firstLine="0"/>
              <w:jc w:val="left"/>
            </w:pPr>
            <w:r>
              <w:rPr>
                <w:rFonts w:ascii="Times New Roman" w:hAnsi="Times New Roman"/>
                <w:sz w:val="20"/>
              </w:rPr>
              <w:t xml:space="preserve">81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3</w:t>
            </w:r>
          </w:p>
        </w:tc>
        <w:tc>
          <w:tcPr>
            <w:tcW w:w="2440" w:type="dxa"/>
            <w:vAlign w:val="top"/>
          </w:tcPr>
          <w:p>
            <w:pPr>
              <w:spacing w:before="0" w:after="0" w:line="408" w:lineRule="exact"/>
              <w:ind w:left="0" w:right="0" w:firstLine="0"/>
              <w:jc w:val="left"/>
            </w:pPr>
            <w:r>
              <w:rPr>
                <w:rFonts w:ascii="Times New Roman" w:hAnsi="Times New Roman"/>
                <w:sz w:val="20"/>
              </w:rPr>
              <w:t xml:space="preserve">72</w:t>
            </w:r>
          </w:p>
        </w:tc>
      </w:tr>
      <w:tr>
        <w:tc>
          <w:tcPr>
            <w:tcW w:w="2420" w:type="dxa"/>
            <w:vAlign w:val="top"/>
          </w:tcPr>
          <w:p>
            <w:pPr>
              <w:spacing w:before="0" w:after="0" w:line="408" w:lineRule="exact"/>
              <w:ind w:left="0" w:right="0" w:firstLine="0"/>
              <w:jc w:val="center"/>
            </w:pPr>
            <w:r>
              <w:rPr>
                <w:rFonts w:ascii="Times New Roman" w:hAnsi="Times New Roman"/>
                <w:sz w:val="20"/>
              </w:rPr>
              <w:t xml:space="preserve">4</w:t>
            </w:r>
          </w:p>
        </w:tc>
        <w:tc>
          <w:tcPr>
            <w:tcW w:w="2440" w:type="dxa"/>
            <w:vAlign w:val="top"/>
          </w:tcPr>
          <w:p>
            <w:pPr>
              <w:spacing w:before="0" w:after="0" w:line="408" w:lineRule="exact"/>
              <w:ind w:left="0" w:right="0" w:firstLine="0"/>
              <w:jc w:val="left"/>
            </w:pPr>
            <w:r>
              <w:rPr>
                <w:rFonts w:ascii="Times New Roman" w:hAnsi="Times New Roman"/>
                <w:sz w:val="20"/>
              </w:rPr>
              <w:t xml:space="preserve">63</w:t>
            </w:r>
          </w:p>
        </w:tc>
      </w:tr>
      <w:tr>
        <w:tc>
          <w:tcPr>
            <w:tcW w:w="2420" w:type="dxa"/>
            <w:vAlign w:val="top"/>
          </w:tcPr>
          <w:p>
            <w:pPr>
              <w:spacing w:before="0" w:after="0" w:line="408" w:lineRule="exact"/>
              <w:ind w:left="0" w:right="0" w:firstLine="0"/>
              <w:jc w:val="center"/>
            </w:pPr>
            <w:r>
              <w:rPr>
                <w:rFonts w:ascii="Times New Roman" w:hAnsi="Times New Roman"/>
                <w:sz w:val="20"/>
              </w:rPr>
              <w:t xml:space="preserve">5</w:t>
            </w:r>
          </w:p>
        </w:tc>
        <w:tc>
          <w:tcPr>
            <w:tcW w:w="2440" w:type="dxa"/>
            <w:vAlign w:val="top"/>
          </w:tcPr>
          <w:p>
            <w:pPr>
              <w:spacing w:before="0" w:after="0" w:line="408" w:lineRule="exact"/>
              <w:ind w:left="0" w:right="0" w:firstLine="0"/>
              <w:jc w:val="left"/>
            </w:pPr>
            <w:r>
              <w:rPr>
                <w:rFonts w:ascii="Times New Roman" w:hAnsi="Times New Roman"/>
                <w:sz w:val="20"/>
              </w:rPr>
              <w:t xml:space="preserve">55</w:t>
            </w:r>
          </w:p>
        </w:tc>
      </w:tr>
      <w:tr>
        <w:tc>
          <w:tcPr>
            <w:tcW w:w="2420" w:type="dxa"/>
            <w:vAlign w:val="top"/>
          </w:tcPr>
          <w:p>
            <w:pPr>
              <w:spacing w:before="0" w:after="0" w:line="408" w:lineRule="exact"/>
              <w:ind w:left="0" w:right="0" w:firstLine="0"/>
              <w:jc w:val="center"/>
            </w:pPr>
            <w:r>
              <w:rPr>
                <w:rFonts w:ascii="Times New Roman" w:hAnsi="Times New Roman"/>
                <w:sz w:val="20"/>
              </w:rPr>
              <w:t xml:space="preserve">6</w:t>
            </w:r>
          </w:p>
        </w:tc>
        <w:tc>
          <w:tcPr>
            <w:tcW w:w="2440" w:type="dxa"/>
            <w:vAlign w:val="top"/>
          </w:tcPr>
          <w:p>
            <w:pPr>
              <w:spacing w:before="0" w:after="0" w:line="408" w:lineRule="exact"/>
              <w:ind w:left="0" w:right="0" w:firstLine="0"/>
              <w:jc w:val="left"/>
            </w:pPr>
            <w:r>
              <w:rPr>
                <w:rFonts w:ascii="Times New Roman" w:hAnsi="Times New Roman"/>
                <w:sz w:val="20"/>
              </w:rPr>
              <w:t xml:space="preserve">47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7</w:t>
            </w:r>
          </w:p>
        </w:tc>
        <w:tc>
          <w:tcPr>
            <w:tcW w:w="2440" w:type="dxa"/>
            <w:vAlign w:val="top"/>
          </w:tcPr>
          <w:p>
            <w:pPr>
              <w:spacing w:before="0" w:after="0" w:line="408" w:lineRule="exact"/>
              <w:ind w:left="0" w:right="0" w:firstLine="0"/>
              <w:jc w:val="left"/>
            </w:pPr>
            <w:r>
              <w:rPr>
                <w:rFonts w:ascii="Times New Roman" w:hAnsi="Times New Roman"/>
                <w:sz w:val="20"/>
              </w:rPr>
              <w:t xml:space="preserve">41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8</w:t>
            </w:r>
          </w:p>
        </w:tc>
        <w:tc>
          <w:tcPr>
            <w:tcW w:w="2440" w:type="dxa"/>
            <w:vAlign w:val="top"/>
          </w:tcPr>
          <w:p>
            <w:pPr>
              <w:spacing w:before="0" w:after="0" w:line="408" w:lineRule="exact"/>
              <w:ind w:left="0" w:right="0" w:firstLine="0"/>
              <w:jc w:val="left"/>
            </w:pPr>
            <w:r>
              <w:rPr>
                <w:rFonts w:ascii="Times New Roman" w:hAnsi="Times New Roman"/>
                <w:sz w:val="20"/>
              </w:rPr>
              <w:t xml:space="preserve">36</w:t>
            </w:r>
          </w:p>
        </w:tc>
      </w:tr>
      <w:tr>
        <w:tc>
          <w:tcPr>
            <w:tcW w:w="2420" w:type="dxa"/>
            <w:vAlign w:val="top"/>
          </w:tcPr>
          <w:p>
            <w:pPr>
              <w:spacing w:before="0" w:after="0" w:line="408" w:lineRule="exact"/>
              <w:ind w:left="0" w:right="0" w:firstLine="0"/>
              <w:jc w:val="center"/>
            </w:pPr>
            <w:r>
              <w:rPr>
                <w:rFonts w:ascii="Times New Roman" w:hAnsi="Times New Roman"/>
                <w:sz w:val="20"/>
              </w:rPr>
              <w:t xml:space="preserve">9</w:t>
            </w:r>
          </w:p>
        </w:tc>
        <w:tc>
          <w:tcPr>
            <w:tcW w:w="2440" w:type="dxa"/>
            <w:vAlign w:val="top"/>
          </w:tcPr>
          <w:p>
            <w:pPr>
              <w:spacing w:before="0" w:after="0" w:line="408" w:lineRule="exact"/>
              <w:ind w:left="0" w:right="0" w:firstLine="0"/>
              <w:jc w:val="left"/>
            </w:pPr>
            <w:r>
              <w:rPr>
                <w:rFonts w:ascii="Times New Roman" w:hAnsi="Times New Roman"/>
                <w:sz w:val="20"/>
              </w:rPr>
              <w:t xml:space="preserve">32</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10</w:t>
            </w:r>
          </w:p>
        </w:tc>
        <w:tc>
          <w:tcPr>
            <w:tcW w:w="2440" w:type="dxa"/>
            <w:vAlign w:val="top"/>
          </w:tcPr>
          <w:p>
            <w:pPr>
              <w:spacing w:before="0" w:after="0" w:line="408" w:lineRule="exact"/>
              <w:ind w:left="0" w:right="0" w:firstLine="0"/>
              <w:jc w:val="left"/>
            </w:pPr>
            <w:r>
              <w:rPr>
                <w:rFonts w:ascii="Times New Roman" w:hAnsi="Times New Roman"/>
                <w:sz w:val="20"/>
              </w:rPr>
              <w:t xml:space="preserve">27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11</w:t>
            </w:r>
          </w:p>
        </w:tc>
        <w:tc>
          <w:tcPr>
            <w:tcW w:w="2440" w:type="dxa"/>
            <w:vAlign w:val="top"/>
          </w:tcPr>
          <w:p>
            <w:pPr>
              <w:spacing w:before="0" w:after="0" w:line="408" w:lineRule="exact"/>
              <w:ind w:left="0" w:right="0" w:firstLine="0"/>
              <w:jc w:val="left"/>
            </w:pPr>
            <w:r>
              <w:rPr>
                <w:rFonts w:ascii="Times New Roman" w:hAnsi="Times New Roman"/>
                <w:sz w:val="20"/>
              </w:rPr>
              <w:t xml:space="preserve">26</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12</w:t>
            </w:r>
          </w:p>
        </w:tc>
        <w:tc>
          <w:tcPr>
            <w:tcW w:w="2440" w:type="dxa"/>
            <w:vAlign w:val="top"/>
          </w:tcPr>
          <w:p>
            <w:pPr>
              <w:spacing w:before="0" w:after="0" w:line="408" w:lineRule="exact"/>
              <w:ind w:left="0" w:right="0" w:firstLine="0"/>
              <w:jc w:val="left"/>
            </w:pPr>
            <w:r>
              <w:rPr>
                <w:rFonts w:ascii="Times New Roman" w:hAnsi="Times New Roman"/>
                <w:sz w:val="20"/>
              </w:rPr>
              <w:t xml:space="preserve">24</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13</w:t>
            </w:r>
          </w:p>
        </w:tc>
        <w:tc>
          <w:tcPr>
            <w:tcW w:w="2440" w:type="dxa"/>
            <w:vAlign w:val="top"/>
          </w:tcPr>
          <w:p>
            <w:pPr>
              <w:spacing w:before="0" w:after="0" w:line="408" w:lineRule="exact"/>
              <w:ind w:left="0" w:right="0" w:firstLine="0"/>
              <w:jc w:val="left"/>
            </w:pPr>
            <w:r>
              <w:rPr>
                <w:rFonts w:ascii="Times New Roman" w:hAnsi="Times New Roman"/>
                <w:sz w:val="20"/>
              </w:rPr>
              <w:t xml:space="preserve">23</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14</w:t>
            </w:r>
          </w:p>
        </w:tc>
        <w:tc>
          <w:tcPr>
            <w:tcW w:w="2440" w:type="dxa"/>
            <w:vAlign w:val="top"/>
          </w:tcPr>
          <w:p>
            <w:pPr>
              <w:spacing w:before="0" w:after="0" w:line="408" w:lineRule="exact"/>
              <w:ind w:left="0" w:right="0" w:firstLine="0"/>
              <w:jc w:val="left"/>
            </w:pPr>
            <w:r>
              <w:rPr>
                <w:rFonts w:ascii="Times New Roman" w:hAnsi="Times New Roman"/>
                <w:sz w:val="20"/>
              </w:rPr>
              <w:t xml:space="preserve">21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15</w:t>
            </w:r>
          </w:p>
        </w:tc>
        <w:tc>
          <w:tcPr>
            <w:tcW w:w="2440" w:type="dxa"/>
            <w:vAlign w:val="top"/>
          </w:tcPr>
          <w:p>
            <w:pPr>
              <w:spacing w:before="0" w:after="0" w:line="408" w:lineRule="exact"/>
              <w:ind w:left="0" w:right="0" w:firstLine="0"/>
              <w:jc w:val="left"/>
            </w:pPr>
            <w:r>
              <w:rPr>
                <w:rFonts w:ascii="Times New Roman" w:hAnsi="Times New Roman"/>
                <w:sz w:val="20"/>
              </w:rPr>
              <w:t xml:space="preserve">16</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16 or older</w:t>
            </w:r>
          </w:p>
        </w:tc>
        <w:tc>
          <w:tcPr>
            <w:tcW w:w="2440" w:type="dxa"/>
            <w:vAlign w:val="top"/>
          </w:tcPr>
          <w:p>
            <w:pPr>
              <w:spacing w:before="0" w:after="0" w:line="408" w:lineRule="exact"/>
              <w:ind w:left="0" w:right="0" w:firstLine="0"/>
              <w:jc w:val="left"/>
            </w:pPr>
            <w:r>
              <w:rPr>
                <w:rFonts w:ascii="Times New Roman" w:hAnsi="Times New Roman"/>
                <w:sz w:val="20"/>
              </w:rPr>
              <w:t xml:space="preserve">10</w:t>
            </w:r>
          </w:p>
        </w:tc>
      </w:tr>
    </w:tbl>
    <w:p>
      <w:pPr>
        <w:spacing w:before="120" w:after="0" w:line="408" w:lineRule="exact"/>
        <w:ind w:left="0" w:right="0" w:firstLine="576"/>
        <w:jc w:val="left"/>
      </w:pPr>
      <w:r>
        <w:rPr/>
        <w:t xml:space="preserve">(4) For purposes of this chapter, value shall exclude value attributable to modifications of a vehicle and equipment that are designed to facilitate the use or operation of the vehicle by a person with a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588482705bb4f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37c02aa4ab4c5b" /><Relationship Type="http://schemas.openxmlformats.org/officeDocument/2006/relationships/footer" Target="/word/footer.xml" Id="R1588482705bb4f3e" /></Relationships>
</file>