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c260ab6a042f2" /></Relationships>
</file>

<file path=word/document.xml><?xml version="1.0" encoding="utf-8"?>
<w:document xmlns:w="http://schemas.openxmlformats.org/wordprocessingml/2006/main">
  <w:body>
    <w:p>
      <w:r>
        <w:t>H-2327.1</w:t>
      </w:r>
    </w:p>
    <w:p>
      <w:pPr>
        <w:jc w:val="center"/>
      </w:pPr>
      <w:r>
        <w:t>_______________________________________________</w:t>
      </w:r>
    </w:p>
    <w:p/>
    <w:p>
      <w:pPr>
        <w:jc w:val="center"/>
      </w:pPr>
      <w:r>
        <w:rPr>
          <w:b/>
        </w:rPr>
        <w:t>HOUSE BILL 2148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Kilduff, Springer, Farrell, Clibborn, Pellicciotti, Frame, Ryu, Tarleton, Sawyer, Kirby, Stonier, Lovick, Stanford, Pollet, Orwall, Senn, Goodman, Dolan, Muri, Macri, and Santos</w:t>
      </w:r>
    </w:p>
    <w:p/>
    <w:p>
      <w:r>
        <w:rPr>
          <w:t xml:space="preserve">Read first time 03/10/17.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regional transit authority rebate program for low-income individuals; adding a new section to chapter 81.112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recent voter-approved sound transit 3 initiative will provide congestion relief and mobility choices for residents throughout the Puget Sound region. However, these investments will come at a cost to those who may be least able to afford an increased vehicle or property tax. The legislature finds that it is necessary to strike a balance between collecting the voter-approved revenue necessary to ensure the on-time and on-budget delivery of the regional light rail system and the burden of increased motor vehicle taxes on our lower-income Washingtonians. To achieve this goal, sound transit, like certain transportation benefit districts, should create a low-income rebate program to provide a rebate to eligible vehicle and home owners in the sound transit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A regional transit authority that includes a county with a population of more than one million five hundred thousand may establish a rebate program for the purpose of providing rebates of up to forty percent of the motor vehicle excise tax or property tax, or both, paid by a low-income individual.</w:t>
      </w:r>
    </w:p>
    <w:p>
      <w:pPr>
        <w:spacing w:before="0" w:after="0" w:line="408" w:lineRule="exact"/>
        <w:ind w:left="0" w:right="0" w:firstLine="576"/>
        <w:jc w:val="left"/>
      </w:pPr>
      <w:r>
        <w:rPr/>
        <w:t xml:space="preserve">(b) A rebate for property taxes may only be provided to a low-income individual who qualifies for an exemption from property taxes pursuant to RCW 84.36.381.</w:t>
      </w:r>
    </w:p>
    <w:p>
      <w:pPr>
        <w:spacing w:before="0" w:after="0" w:line="408" w:lineRule="exact"/>
        <w:ind w:left="0" w:right="0" w:firstLine="576"/>
        <w:jc w:val="left"/>
      </w:pPr>
      <w:r>
        <w:rPr/>
        <w:t xml:space="preserve">(c) For purposes of this subsection, "low-income individual" means a single person, family, or unrelated persons living together whose income is at or below eighty percent of the median income, adjusted for family size, for the county in which they reside.</w:t>
      </w:r>
    </w:p>
    <w:p>
      <w:pPr>
        <w:spacing w:before="0" w:after="0" w:line="408" w:lineRule="exact"/>
        <w:ind w:left="0" w:right="0" w:firstLine="576"/>
        <w:jc w:val="left"/>
      </w:pPr>
      <w:r>
        <w:rPr/>
        <w:t xml:space="preserve">(2) Funds collected from a motor vehicle excise tax under RCW 81.104.160, a sales and use tax under RCW 81.104.170, or property tax under RCW 81.104.175 may be used for a rebate program established under this section.</w:t>
      </w:r>
    </w:p>
    <w:p>
      <w:pPr>
        <w:spacing w:before="0" w:after="0" w:line="408" w:lineRule="exact"/>
        <w:ind w:left="0" w:right="0" w:firstLine="576"/>
        <w:jc w:val="left"/>
      </w:pPr>
      <w:r>
        <w:rPr/>
        <w:t xml:space="preserve">(3) A regional transit authority that establishes a rebate program is responsible for the development of the program and must work with the department of licensing regarding the administration, functions, and costs associated with the rebate program.</w:t>
      </w:r>
    </w:p>
    <w:p>
      <w:pPr>
        <w:spacing w:before="0" w:after="0" w:line="408" w:lineRule="exact"/>
        <w:ind w:left="0" w:right="0" w:firstLine="576"/>
        <w:jc w:val="left"/>
      </w:pPr>
      <w:r>
        <w:rPr/>
        <w:t xml:space="preserve">(4) A regional transit authority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b1f5c5b8b9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e40c265c448e3" /><Relationship Type="http://schemas.openxmlformats.org/officeDocument/2006/relationships/footer" Target="/word/footer.xml" Id="R97b1f5c5b8b94734" /></Relationships>
</file>