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9da890d45d4837" /></Relationships>
</file>

<file path=word/document.xml><?xml version="1.0" encoding="utf-8"?>
<w:document xmlns:w="http://schemas.openxmlformats.org/wordprocessingml/2006/main">
  <w:body>
    <w:p>
      <w:r>
        <w:t>H-2367.1</w:t>
      </w:r>
    </w:p>
    <w:p>
      <w:pPr>
        <w:jc w:val="center"/>
      </w:pPr>
      <w:r>
        <w:t>_______________________________________________</w:t>
      </w:r>
    </w:p>
    <w:p/>
    <w:p>
      <w:pPr>
        <w:jc w:val="center"/>
      </w:pPr>
      <w:r>
        <w:rPr>
          <w:b/>
        </w:rPr>
        <w:t>HOUSE BILL 2167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Harmsworth, Hargrove, and Muri</w:t>
      </w:r>
    </w:p>
    <w:p/>
    <w:p>
      <w:r>
        <w:rPr>
          <w:t xml:space="preserve">Read first time 03/20/17.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nullifying the imposition of certain taxes within regional transit authority boundaries; amending RCW 81.104.175; adding a new section to chapter 81.112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Any property taxes approved by regional transit authority voters under RCW 81.104.175 may be nullified within the complete boundaries of a city or county within a regional transit authority if either of the following conditions are met:</w:t>
      </w:r>
    </w:p>
    <w:p>
      <w:pPr>
        <w:spacing w:before="0" w:after="0" w:line="408" w:lineRule="exact"/>
        <w:ind w:left="0" w:right="0" w:firstLine="576"/>
        <w:jc w:val="left"/>
      </w:pPr>
      <w:r>
        <w:rPr/>
        <w:t xml:space="preserve">(a) A majority of the city or county legislative authority votes to nullify the property taxes; or</w:t>
      </w:r>
    </w:p>
    <w:p>
      <w:pPr>
        <w:spacing w:before="0" w:after="0" w:line="408" w:lineRule="exact"/>
        <w:ind w:left="0" w:right="0" w:firstLine="576"/>
        <w:jc w:val="left"/>
      </w:pPr>
      <w:r>
        <w:rPr/>
        <w:t xml:space="preserve">(b) A proposition to nullify the property taxes is approved by voters under subsection (2) of this section.</w:t>
      </w:r>
    </w:p>
    <w:p>
      <w:pPr>
        <w:spacing w:before="0" w:after="0" w:line="408" w:lineRule="exact"/>
        <w:ind w:left="0" w:right="0" w:firstLine="576"/>
        <w:jc w:val="left"/>
      </w:pPr>
      <w:r>
        <w:rPr/>
        <w:t xml:space="preserve">(2) If a petition to nullify regional transit authority property taxes within a city or county is filed with the county auditor containing the signatures of eight percent of the number of voters registered and voting in the city or county for the office of the governor at the last preceding gubernatorial election, the county auditor must canvass the signatures in the same manner as prescribed in RCW 29A.72.230 and certify their sufficiency to the governing body within two weeks. The proposition to nullify the property taxes must then be submitted to the voters of the city or county at a special election, called for this purpose, no later than the date on which a primary election would be held under RCW 29A.04.311. The property taxes may then be nullified only if approved by a majority of the voters of the city or county voting on the proposition.</w:t>
      </w:r>
    </w:p>
    <w:p>
      <w:pPr>
        <w:spacing w:before="0" w:after="0" w:line="408" w:lineRule="exact"/>
        <w:ind w:left="0" w:right="0" w:firstLine="576"/>
        <w:jc w:val="left"/>
      </w:pPr>
      <w:r>
        <w:rPr/>
        <w:t xml:space="preserve">(3) Any regional transit authority property taxes nullified under this section may not be imposed within the boundaries of the affected city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2015 3rd sp.s. c 44 s 321 are each amended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(7) The authority to impose a tax under this section is subject to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13b5a3c62574d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82be9b28cf4458" /><Relationship Type="http://schemas.openxmlformats.org/officeDocument/2006/relationships/footer" Target="/word/footer.xml" Id="R313b5a3c62574d87" /></Relationships>
</file>