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0ebbdd58d64e43" /></Relationships>
</file>

<file path=word/document.xml><?xml version="1.0" encoding="utf-8"?>
<w:document xmlns:w="http://schemas.openxmlformats.org/wordprocessingml/2006/main">
  <w:body>
    <w:p>
      <w:r>
        <w:t>H-2460.1</w:t>
      </w:r>
    </w:p>
    <w:p>
      <w:pPr>
        <w:jc w:val="center"/>
      </w:pPr>
      <w:r>
        <w:t>_______________________________________________</w:t>
      </w:r>
    </w:p>
    <w:p/>
    <w:p>
      <w:pPr>
        <w:jc w:val="center"/>
      </w:pPr>
      <w:r>
        <w:rPr>
          <w:b/>
        </w:rPr>
        <w:t>HOUSE BILL 2184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Goodman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sentencing and incarceration of offenders; amending RCW 72.09.010, 9.94A.480, and 9.94A.585; adding new sections to chapter 72.09 RCW; adding a new section to chapter 9.94A RCW; adding a new chapter to Title 43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Subject to the availability of amounts appropriated for this specific purpose, the office of the corrections ombuds is funded through the office of the state auditor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3(1)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with recommendations regarding the ombuds budget and changes in the law that would enhance ombuds effectiveness.</w:t>
      </w:r>
    </w:p>
    <w:p>
      <w:pPr>
        <w:spacing w:before="0" w:after="0" w:line="408" w:lineRule="exact"/>
        <w:ind w:left="0" w:right="0" w:firstLine="576"/>
        <w:jc w:val="left"/>
      </w:pPr>
      <w:r>
        <w:rPr/>
        <w:t xml:space="preserve">(2) The council initially consists of one democrat and one republican member of the legislature. The chairs of the senate committee on law and justice and the house of representatives committee on public safety shall make recommendations to the president of the senate and the speaker of the house of representatives, who shall make the final appointments. These appointed members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a current inmate;</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 and</w:t>
      </w:r>
    </w:p>
    <w:p>
      <w:pPr>
        <w:spacing w:before="0" w:after="0" w:line="408" w:lineRule="exact"/>
        <w:ind w:left="0" w:right="0" w:firstLine="576"/>
        <w:jc w:val="left"/>
      </w:pPr>
      <w:r>
        <w:rPr/>
        <w:t xml:space="preserve">(f) A community member with dispute resolution training who has experience working in the criminal justice or corrections field.</w:t>
      </w:r>
    </w:p>
    <w:p>
      <w:pPr>
        <w:spacing w:before="0" w:after="0" w:line="408" w:lineRule="exact"/>
        <w:ind w:left="0" w:right="0" w:firstLine="576"/>
        <w:jc w:val="left"/>
      </w:pPr>
      <w:r>
        <w:rPr/>
        <w:t xml:space="preserve">(3) The council also includes:</w:t>
      </w:r>
    </w:p>
    <w:p>
      <w:pPr>
        <w:spacing w:before="0" w:after="0" w:line="408" w:lineRule="exact"/>
        <w:ind w:left="0" w:right="0" w:firstLine="576"/>
        <w:jc w:val="left"/>
      </w:pPr>
      <w:r>
        <w:rPr/>
        <w:t xml:space="preserve">(a) The department staff serving as the internal ombuds, if any; and</w:t>
      </w:r>
    </w:p>
    <w:p>
      <w:pPr>
        <w:spacing w:before="0" w:after="0" w:line="408" w:lineRule="exact"/>
        <w:ind w:left="0" w:right="0" w:firstLine="576"/>
        <w:jc w:val="left"/>
      </w:pPr>
      <w:r>
        <w:rPr/>
        <w:t xml:space="preserve">(b) A bargaining unit representative, as selected by the membership of the bargaining unit.</w:t>
      </w:r>
    </w:p>
    <w:p>
      <w:pPr>
        <w:spacing w:before="0" w:after="0" w:line="408" w:lineRule="exact"/>
        <w:ind w:left="0" w:right="0" w:firstLine="576"/>
        <w:jc w:val="left"/>
      </w:pPr>
      <w:r>
        <w:rPr/>
        <w:t xml:space="preserve">(4)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(5) Councilmembers serve a term of three years, except that the council shall create and implement a system of staggered terms, and no member may serve more than two consecutive terms. The council shall convene at least quarterly. Councilmembers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state auditor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state auditor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state auditor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Prior to filing a complaint with the ombuds, an inmate shall have reasonably pursued resolution of the complaint through the internal grievance process with the department of corrections. However, in no event may an inmate be prevented from filing a complaint more than ninety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The ombuds may not investigate any complaints relating to an inmate's underlying criminal conviction.</w:t>
      </w:r>
    </w:p>
    <w:p>
      <w:pPr>
        <w:spacing w:before="0" w:after="0" w:line="408" w:lineRule="exact"/>
        <w:ind w:left="0" w:right="0" w:firstLine="576"/>
        <w:jc w:val="left"/>
      </w:pPr>
      <w:r>
        <w:rPr/>
        <w:t xml:space="preserve">(e)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(f) The ombuds may refer complainants and others to appropriate resources, agencies, or departments.</w:t>
      </w:r>
    </w:p>
    <w:p>
      <w:pPr>
        <w:spacing w:before="0" w:after="0" w:line="408" w:lineRule="exact"/>
        <w:ind w:left="0" w:right="0" w:firstLine="576"/>
        <w:jc w:val="left"/>
      </w:pPr>
      <w:r>
        <w:rPr/>
        <w:t xml:space="preserve">(g) The ombuds may not levy any fees for the submission or investigation of complaints.</w:t>
      </w:r>
    </w:p>
    <w:p>
      <w:pPr>
        <w:spacing w:before="0" w:after="0" w:line="408" w:lineRule="exact"/>
        <w:ind w:left="0" w:right="0" w:firstLine="576"/>
        <w:jc w:val="left"/>
      </w:pPr>
      <w:r>
        <w:rPr/>
        <w:t xml:space="preserve">(h) At the conclusion of an investigation of a complaint, the ombuds must render a public decision on the merits of each complaint, except that the documents supporting the decision are subject to the confidentiality provisions of section 7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(i)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(j)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Take any additional action that the ombuds considers appropriate.</w:t>
      </w:r>
    </w:p>
    <w:p>
      <w:pPr>
        <w:spacing w:before="0" w:after="0" w:line="408" w:lineRule="exact"/>
        <w:ind w:left="0" w:right="0" w:firstLine="576"/>
        <w:jc w:val="left"/>
      </w:pPr>
      <w:r>
        <w:rPr/>
        <w:t xml:space="preserve">(k)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reasonable suspicion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Reasonable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obtain copies of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ten business days after the ombuds makes a written request for such records.</w:t>
      </w:r>
    </w:p>
    <w:p>
      <w:pPr>
        <w:spacing w:before="0" w:after="0" w:line="408" w:lineRule="exact"/>
        <w:ind w:left="0" w:right="0" w:firstLine="576"/>
        <w:jc w:val="left"/>
      </w:pPr>
      <w:r>
        <w:rPr/>
        <w:t xml:space="preserve">(b) The ombuds must have immediate access, not later than seventy-two hours after the ombuds makes such a request, to relevant records, without consent from another party, if the ombuds determines there is reasonable suspicion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 performance audit of the information technology and records related units at the department of corrections, including:</w:t>
      </w:r>
    </w:p>
    <w:p>
      <w:pPr>
        <w:spacing w:before="0" w:after="0" w:line="408" w:lineRule="exact"/>
        <w:ind w:left="0" w:right="0" w:firstLine="576"/>
        <w:jc w:val="left"/>
      </w:pPr>
      <w:r>
        <w:rPr/>
        <w:t xml:space="preserve">(a) The administrative structure of the units, including whether the units should be restructured to respond efficiently to changes in sentencing laws and other emergent issues;</w:t>
      </w:r>
    </w:p>
    <w:p>
      <w:pPr>
        <w:spacing w:before="0" w:after="0" w:line="408" w:lineRule="exact"/>
        <w:ind w:left="0" w:right="0" w:firstLine="576"/>
        <w:jc w:val="left"/>
      </w:pPr>
      <w:r>
        <w:rPr/>
        <w:t xml:space="preserve">(b) The sufficiency of staffing levels and expertise at each of the units; and</w:t>
      </w:r>
    </w:p>
    <w:p>
      <w:pPr>
        <w:spacing w:before="0" w:after="0" w:line="408" w:lineRule="exact"/>
        <w:ind w:left="0" w:right="0" w:firstLine="576"/>
        <w:jc w:val="left"/>
      </w:pPr>
      <w:r>
        <w:rPr/>
        <w:t xml:space="preserve">(c) An evaluation of the advance corrections project's impact on workload and staff resources at each of the units.</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administrative office of the courts, superior court judges' association, Washington association of prosecuting attorneys, Washington association of criminal defense lawyers, Washington public defenders'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13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by December 1, 2017, the sentencing guidelines commission shall contract for the services of an external consultant to evaluate the state's sentencing laws and practices. The consultant must have demonstrated experience and knowledge in Washington's sentencing system and other sentencing systems and models in other states and nations. The consultant must have demonstrated experience in conducting significant research studies. The evaluation must include:</w:t>
      </w:r>
    </w:p>
    <w:p>
      <w:pPr>
        <w:spacing w:before="0" w:after="0" w:line="408" w:lineRule="exact"/>
        <w:ind w:left="0" w:right="0" w:firstLine="576"/>
        <w:jc w:val="left"/>
      </w:pPr>
      <w:r>
        <w:rPr/>
        <w:t xml:space="preserve">(a) An assessment of sentencing complexities in law and in implementation, including an assessment of possible challenges faced by the courts, jails, and the department of corrections;</w:t>
      </w:r>
    </w:p>
    <w:p>
      <w:pPr>
        <w:spacing w:before="0" w:after="0" w:line="408" w:lineRule="exact"/>
        <w:ind w:left="0" w:right="0" w:firstLine="576"/>
        <w:jc w:val="left"/>
      </w:pPr>
      <w:r>
        <w:rPr/>
        <w:t xml:space="preserve">(b) An assessment of whether the sentencing reform act conforms to its intended purposes, including reducing disparity between similarly situated offenders;</w:t>
      </w:r>
    </w:p>
    <w:p>
      <w:pPr>
        <w:spacing w:before="0" w:after="0" w:line="408" w:lineRule="exact"/>
        <w:ind w:left="0" w:right="0" w:firstLine="576"/>
        <w:jc w:val="left"/>
      </w:pPr>
      <w:r>
        <w:rPr/>
        <w:t xml:space="preserve">(c) An assessment of the sentencing changes adopted by the legislature since 1981, including frequency, nature, and impact;</w:t>
      </w:r>
    </w:p>
    <w:p>
      <w:pPr>
        <w:spacing w:before="0" w:after="0" w:line="408" w:lineRule="exact"/>
        <w:ind w:left="0" w:right="0" w:firstLine="576"/>
        <w:jc w:val="left"/>
      </w:pPr>
      <w:r>
        <w:rPr/>
        <w:t xml:space="preserve">(d) An assessment of sentence lengths among different categories of offenders and whether those sentences conform to current research literature on the relationship between sentences lengths and recidivism;</w:t>
      </w:r>
    </w:p>
    <w:p>
      <w:pPr>
        <w:spacing w:before="0" w:after="0" w:line="408" w:lineRule="exact"/>
        <w:ind w:left="0" w:right="0" w:firstLine="576"/>
        <w:jc w:val="left"/>
      </w:pPr>
      <w:r>
        <w:rPr/>
        <w:t xml:space="preserve">(e) An assessment of the consistent or inconsistent application and impact of sentencing laws on offenders and the community;</w:t>
      </w:r>
    </w:p>
    <w:p>
      <w:pPr>
        <w:spacing w:before="0" w:after="0" w:line="408" w:lineRule="exact"/>
        <w:ind w:left="0" w:right="0" w:firstLine="576"/>
        <w:jc w:val="left"/>
      </w:pPr>
      <w:r>
        <w:rPr/>
        <w:t xml:space="preserve">(f) An assessment of the state's sentencing laws and practices as compared to other states and other sentencing models including, but not limited to, whether the current sentencing laws and practices promote public safety, fairness, and equity as compared to other models of sentencing;</w:t>
      </w:r>
    </w:p>
    <w:p>
      <w:pPr>
        <w:spacing w:before="0" w:after="0" w:line="408" w:lineRule="exact"/>
        <w:ind w:left="0" w:right="0" w:firstLine="576"/>
        <w:jc w:val="left"/>
      </w:pPr>
      <w:r>
        <w:rPr/>
        <w:t xml:space="preserve">(g) An assessment of whether the elimination of the parole system and establishment of determinate sentencing is connected to or has resulted in excessive incarceration of low-risk offenders;</w:t>
      </w:r>
    </w:p>
    <w:p>
      <w:pPr>
        <w:spacing w:before="0" w:after="0" w:line="408" w:lineRule="exact"/>
        <w:ind w:left="0" w:right="0" w:firstLine="576"/>
        <w:jc w:val="left"/>
      </w:pPr>
      <w:r>
        <w:rPr/>
        <w:t xml:space="preserve">(h) Recommendations for changing and improving sentencing laws and practices to address implementation challenges, promote public safety, reduce recidivism, reduce disparity, reduce incarceration rates for low-risk offenders, reduce costs to taxpayers, and promote fairness and equity, including a phased implementation plan for possible retroactive and prospective changes; and</w:t>
      </w:r>
    </w:p>
    <w:p>
      <w:pPr>
        <w:spacing w:before="0" w:after="0" w:line="408" w:lineRule="exact"/>
        <w:ind w:left="0" w:right="0" w:firstLine="576"/>
        <w:jc w:val="left"/>
      </w:pPr>
      <w:r>
        <w:rPr/>
        <w:t xml:space="preserve">(i) Recommendations for establishing an ongoing review of sentencing laws and practices.</w:t>
      </w:r>
    </w:p>
    <w:p>
      <w:pPr>
        <w:spacing w:before="0" w:after="0" w:line="408" w:lineRule="exact"/>
        <w:ind w:left="0" w:right="0" w:firstLine="576"/>
        <w:jc w:val="left"/>
      </w:pPr>
      <w:r>
        <w:rPr/>
        <w:t xml:space="preserve">(2) The consultant shall complete its evaluation and submit a report to the commission, the joint legislative task force on criminal sentencing under section 17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of the courts.</w:t>
      </w:r>
    </w:p>
    <w:p>
      <w:pPr>
        <w:spacing w:before="0" w:after="0" w:line="408" w:lineRule="exact"/>
        <w:ind w:left="0" w:right="0" w:firstLine="576"/>
        <w:jc w:val="left"/>
      </w:pPr>
      <w:r>
        <w:rPr/>
        <w:t xml:space="preserve">(3) The task force shall review sentencing laws after consideration of the study under section 16 of this act and the consultant's recommendations. The task force shall develop recommendations to reduce sentencing implementation complexities and errors, improve the effectiveness and fairness of the sentencing system, and promote public safety. The task force shall submit a report, including findings and recommendations, to the governor and the appropriate committees of the legislature by December 1, 2019.</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legislative members of the task force shall choose the task force's cochairs, which must include one senator and one representative from among the legislative membership of the task force.</w:t>
      </w:r>
    </w:p>
    <w:p>
      <w:pPr>
        <w:spacing w:before="0" w:after="0" w:line="408" w:lineRule="exact"/>
        <w:ind w:left="0" w:right="0" w:firstLine="576"/>
        <w:jc w:val="left"/>
      </w:pPr>
      <w:r>
        <w:rPr/>
        <w:t xml:space="preserve">(6) Staff support for the task force must be provided by the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any relevant documentation regarding the department of corrections early release error, with particular focus on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apply to sentences imposed on or after January 1, 2018.</w:t>
      </w:r>
    </w:p>
    <w:p/>
    <w:p>
      <w:pPr>
        <w:jc w:val="center"/>
      </w:pPr>
      <w:r>
        <w:rPr>
          <w:b/>
        </w:rPr>
        <w:t>--- END ---</w:t>
      </w:r>
    </w:p>
    <w:sectPr>
      <w:pgNumType w:start="1"/>
      <w:footerReference xmlns:r="http://schemas.openxmlformats.org/officeDocument/2006/relationships" r:id="R328784d890ac46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6c34697fa4961" /><Relationship Type="http://schemas.openxmlformats.org/officeDocument/2006/relationships/footer" Target="/word/footer.xml" Id="R328784d890ac4630" /></Relationships>
</file>