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c8f6a303e452c" /></Relationships>
</file>

<file path=word/document.xml><?xml version="1.0" encoding="utf-8"?>
<w:document xmlns:w="http://schemas.openxmlformats.org/wordprocessingml/2006/main">
  <w:body>
    <w:p>
      <w:r>
        <w:t>H-2547.1</w:t>
      </w:r>
    </w:p>
    <w:p>
      <w:pPr>
        <w:jc w:val="center"/>
      </w:pPr>
      <w:r>
        <w:t>_______________________________________________</w:t>
      </w:r>
    </w:p>
    <w:p/>
    <w:p>
      <w:pPr>
        <w:jc w:val="center"/>
      </w:pPr>
      <w:r>
        <w:rPr>
          <w:b/>
        </w:rPr>
        <w:t>HOUSE BILL 2198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MacEwen, Stokesbary, Graves, Caldier, Hargrove, Young, Stambaugh, Rodne, Wilcox, Barkis, Muri, and McDonald</w:t>
      </w:r>
    </w:p>
    <w:p/>
    <w:p>
      <w:r>
        <w:rPr>
          <w:t xml:space="preserve">Read first time 04/05/17.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motor vehicle excise taxes by regional transit authorities; amending RCW 82.44.135, 81.104.160, 82.44.035, and 81.104.190;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the tax is based solely on the vehicle valuation method identified in RCW 81.104.160(1)(a)(ii).</w:t>
      </w:r>
    </w:p>
    <w:p>
      <w:pPr>
        <w:spacing w:before="0" w:after="0" w:line="408" w:lineRule="exact"/>
        <w:ind w:left="0" w:right="0" w:firstLine="576"/>
        <w:jc w:val="left"/>
      </w:pPr>
      <w:r>
        <w:rPr>
          <w:u w:val="single"/>
        </w:rPr>
        <w:t xml:space="preserve">(3)(a) Any contract entered into under this section must provide that the department will receive amounts sufficient to fully cover the costs applicable to the tax collection process, including (i) customer service-related costs, (ii) information technology-related costs, (iii) public announcement and education costs, and (iv) any liability or other related risk assessment costs.</w:t>
      </w:r>
    </w:p>
    <w:p>
      <w:pPr>
        <w:spacing w:before="0" w:after="0" w:line="408" w:lineRule="exact"/>
        <w:ind w:left="0" w:right="0" w:firstLine="576"/>
        <w:jc w:val="left"/>
      </w:pPr>
      <w:r>
        <w:rPr>
          <w:u w:val="single"/>
        </w:rPr>
        <w:t xml:space="preserve">(b) Any contract entered into under this section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cf6b56ee3c4c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86dbcd18043d9" /><Relationship Type="http://schemas.openxmlformats.org/officeDocument/2006/relationships/footer" Target="/word/footer.xml" Id="Rd3cf6b56ee3c4cb2" /></Relationships>
</file>