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f84ce36c6b40d5" /></Relationships>
</file>

<file path=word/document.xml><?xml version="1.0" encoding="utf-8"?>
<w:document xmlns:w="http://schemas.openxmlformats.org/wordprocessingml/2006/main">
  <w:body>
    <w:p>
      <w:r>
        <w:t>H-2738.1</w:t>
      </w:r>
    </w:p>
    <w:p>
      <w:pPr>
        <w:jc w:val="center"/>
      </w:pPr>
      <w:r>
        <w:t>_______________________________________________</w:t>
      </w:r>
    </w:p>
    <w:p/>
    <w:p>
      <w:pPr>
        <w:jc w:val="center"/>
      </w:pPr>
      <w:r>
        <w:rPr>
          <w:b/>
        </w:rPr>
        <w:t>HOUSE BILL 2207</w:t>
      </w:r>
    </w:p>
    <w:p>
      <w:pPr>
        <w:jc w:val="center"/>
      </w:pPr>
      <w:r>
        <w:t>_______________________________________________</w:t>
      </w:r>
    </w:p>
    <w:p/>
    <w:p>
      <w:r>
        <w:rPr>
          <w:b/>
        </w:rPr>
        <w:t>State of Washington</w:t>
        <w:tab/>
        <w:tab/>
      </w:r>
      <w:r>
        <w:rPr>
          <w:b/>
        </w:rPr>
        <w:t>65th Legislature</w:t>
        <w:tab/>
      </w:r>
      <w:r>
        <w:rPr>
          <w:b/>
        </w:rPr>
        <w:t>2017 1st Special Session</w:t>
      </w:r>
    </w:p>
    <w:p/>
    <w:p>
      <w:r>
        <w:rPr>
          <w:b/>
        </w:rPr>
        <w:t xml:space="preserve">By </w:t>
      </w:r>
      <w:r>
        <w:t>Representatives MacEwen and Taylor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state health care plans from covering individuals for repeated treatment for hepatitis C infection; and amending RCW 41.05.075.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administrator shall provide benefit plans designed by the board through a contract or contracts with insuring entities, through self-funding, self-insurance, or other methods of providing insurance coverage authorized by RCW 41.05.140.</w:t>
      </w:r>
    </w:p>
    <w:p>
      <w:pPr>
        <w:spacing w:before="0" w:after="0" w:line="408" w:lineRule="exact"/>
        <w:ind w:left="0" w:right="0" w:firstLine="576"/>
        <w:jc w:val="left"/>
      </w:pPr>
      <w:r>
        <w:rPr/>
        <w:t xml:space="preserve">(2) The administrator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The administrator shall establish a requirement for review of utilization and financial data from participating insuring entities on a quarterly basis.</w:t>
      </w:r>
    </w:p>
    <w:p>
      <w:pPr>
        <w:spacing w:before="0" w:after="0" w:line="408" w:lineRule="exact"/>
        <w:ind w:left="0" w:right="0" w:firstLine="576"/>
        <w:jc w:val="left"/>
      </w:pPr>
      <w:r>
        <w:rPr/>
        <w:t xml:space="preserve">(4) The administrator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rPr/>
        <w:t xml:space="preserve">(5) All claims data shall be the property of the state. The administrator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administrator's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(7) of this section.</w:t>
      </w:r>
    </w:p>
    <w:p>
      <w:pPr>
        <w:spacing w:before="0" w:after="0" w:line="408" w:lineRule="exact"/>
        <w:ind w:left="0" w:right="0" w:firstLine="576"/>
        <w:jc w:val="left"/>
      </w:pPr>
      <w:r>
        <w:rPr/>
        <w:t xml:space="preserve">(6)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administrator from establishing appropriate utilization controls approved pursuant to RCW 41.05.065(2) (a), (b), and (d).</w:t>
      </w:r>
    </w:p>
    <w:p>
      <w:pPr>
        <w:spacing w:before="0" w:after="0" w:line="408" w:lineRule="exact"/>
        <w:ind w:left="0" w:right="0" w:firstLine="576"/>
        <w:jc w:val="left"/>
      </w:pPr>
      <w:r>
        <w:rPr/>
        <w:t xml:space="preserve">(7) The administrator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w:t>
      </w:r>
      <w:r>
        <w:t>((</w:t>
      </w:r>
      <w:r>
        <w:rPr>
          <w:strike/>
        </w:rPr>
        <w:t xml:space="preserve">(4)</w:t>
      </w:r>
      <w:r>
        <w:t>))</w:t>
      </w:r>
      <w:r>
        <w:rPr/>
        <w:t xml:space="preserve"> </w:t>
      </w:r>
      <w:r>
        <w:rPr>
          <w:u w:val="single"/>
        </w:rPr>
        <w:t xml:space="preserve">(7)</w:t>
      </w:r>
      <w:r>
        <w:rPr/>
        <w:t xml:space="preserve">,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(8) The administrator may permit the Washington state health insurance pool to contract to utilize any network maintained by the authority or any network under contract with the authority.</w:t>
      </w:r>
    </w:p>
    <w:p>
      <w:pPr>
        <w:spacing w:before="0" w:after="0" w:line="408" w:lineRule="exact"/>
        <w:ind w:left="0" w:right="0" w:firstLine="576"/>
        <w:jc w:val="left"/>
      </w:pPr>
      <w:r>
        <w:rPr>
          <w:u w:val="single"/>
        </w:rPr>
        <w:t xml:space="preserve">(9) The administrator shall not provide, nor may the board design, a health plan through a contract with insuring entities, through self-funding, self-insurance, or other methods that provides individuals with coverage for more than a single infection of hepatitis C during the individual's lifetime.</w:t>
      </w:r>
    </w:p>
    <w:p/>
    <w:p>
      <w:pPr>
        <w:jc w:val="center"/>
      </w:pPr>
      <w:r>
        <w:rPr>
          <w:b/>
        </w:rPr>
        <w:t>--- END ---</w:t>
      </w:r>
    </w:p>
    <w:sectPr>
      <w:pgNumType w:start="1"/>
      <w:footerReference xmlns:r="http://schemas.openxmlformats.org/officeDocument/2006/relationships" r:id="R1cc67dbacb754a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edaff8e5bc4943" /><Relationship Type="http://schemas.openxmlformats.org/officeDocument/2006/relationships/footer" Target="/word/footer.xml" Id="R1cc67dbacb754a3a" /></Relationships>
</file>