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699ab95a0436a" /></Relationships>
</file>

<file path=word/document.xml><?xml version="1.0" encoding="utf-8"?>
<w:document xmlns:w="http://schemas.openxmlformats.org/wordprocessingml/2006/main">
  <w:body>
    <w:p>
      <w:r>
        <w:t>H-2917.2</w:t>
      </w:r>
    </w:p>
    <w:p>
      <w:pPr>
        <w:jc w:val="center"/>
      </w:pPr>
      <w:r>
        <w:t>_______________________________________________</w:t>
      </w:r>
    </w:p>
    <w:p/>
    <w:p>
      <w:pPr>
        <w:jc w:val="center"/>
      </w:pPr>
      <w:r>
        <w:rPr>
          <w:b/>
        </w:rPr>
        <w:t>HOUSE BILL 2239</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Stanford, Springer, Blake, Tharinger, and Dolan</w:t>
      </w:r>
    </w:p>
    <w:p/>
    <w:p>
      <w:r>
        <w:rPr>
          <w:t xml:space="preserve">Read first time 06/28/17.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water availability issues created by the Washington supreme court decision in Whatcom County v. Western Washington Growth Management Hearings Board, also known as the Hirst decision, solely by providing immediate and temporary relief to landowners affected by the Hirst decision by ensuring that a water well report for a groundwater withdrawal exempt from permitting and not prohibited by an applicable water resources management rule adopted by the department of ecology may serve until December 31, 2018, as evidence of an adequate water supply for a building necessitating potable water, allowing cities and counties to rely until December 31, 2018, on water resource management rules adopted by the department of ecology in providing for the protection of surface water and groundwater resources except in certain water resource inventory areas, and creating a task force; amending RCW 19.27.097, 36.70A.070, and 36.70A.070;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w:t>
      </w:r>
      <w:r>
        <w:t>((</w:t>
      </w:r>
      <w:r>
        <w:rPr>
          <w:strike/>
        </w:rPr>
        <w:t xml:space="preserve">or</w:t>
      </w:r>
      <w:r>
        <w:t>))</w:t>
      </w:r>
      <w:r>
        <w:rPr/>
        <w:t xml:space="preserve"> another form sufficient to verify the existence of an adequate water supply</w:t>
      </w:r>
      <w:r>
        <w:rPr>
          <w:u w:val="single"/>
        </w:rPr>
        <w:t xml:space="preserve">, or, until December 31, 2018, and except in the areas listed in subsection (4) of this section, a water well report for a groundwater withdrawal exempt from permitting under RCW 90.44.050 and not prohibited by an applicable water resources management rule adopted by the department of ecology</w:t>
      </w:r>
      <w:r>
        <w:rPr/>
        <w:t xml:space="preserve">.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0" w:after="0" w:line="408" w:lineRule="exact"/>
        <w:ind w:left="0" w:right="0" w:firstLine="576"/>
        <w:jc w:val="left"/>
      </w:pPr>
      <w:r>
        <w:rPr>
          <w:u w:val="single"/>
        </w:rPr>
        <w:t xml:space="preserve">(4) A water well report for a groundwater withdrawal exempt from permitting under RCW 90.44.050 and not prohibited by an applicable water resources management rule adopted by the department of ecology may not be used as evidence of an adequate water supply for a building necessitating potable water in the following areas: Water resource inventory areas subject to a federally administered adjudication; water resource inventory areas with instream flow rules adopted pursuant to chapter 90.54 RCW after 2001; and the Yakima basin, water resource inventory areas 37, 38, and 39, the Skagit basin, water resource inventory areas 3 and 4, and the Methow basin, water resource inventory area 48.</w:t>
      </w:r>
    </w:p>
    <w:p>
      <w:pPr>
        <w:spacing w:before="0" w:after="0" w:line="408" w:lineRule="exact"/>
        <w:ind w:left="0" w:right="0" w:firstLine="576"/>
        <w:jc w:val="left"/>
      </w:pPr>
      <w:r>
        <w:rPr>
          <w:u w:val="single"/>
        </w:rPr>
        <w:t xml:space="preserve">(5) In order for a building permit applicant to be eligible to rely on a water well report for a groundwater withdrawal exempt from permitting under RCW 90.44.050 and not prohibited by an applicable water resources management rule adopted by the department of ecology as evidence of adequate water supply, the applicant must submit a valid and fully complete building permit application, as defined in RCW 19.27.095, to the appropriate permitting authority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until December 31, 2018, rely on or refer to applicable water resources management rules adopted by the department of ecology, except in the following areas: Water resource inventory areas subject to a federally administered adjudication; water resource inventory areas with instream flow rules adopted pursuant to chapter 90.54 RCW after 2001; and the Yakima basin, water resource inventory areas 37, 38, and 39, the Skagit basin, water resource inventory areas 3 and 4, and the Methow basin, water resource inventory area 48.</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until December 31, 2018, and except in the areas listed in subsection (1) of this section,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until December 31, 2018, rely on or refer to applicable water resources management rules adopted by the department of ecology, except in the following areas: Water resource inventory areas subject to a federally administered adjudication; water resource inventory areas with instream flow rules adopted pursuant to chapter 90.54 RCW after 2001; and the Yakima basin, water resource inventory areas 37, 38, and 39, the Skagit basin, water resource inventory areas 3 and 4, and the Methow basin, water resource inventory area 48.</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until December 31, 2018, and except in the areas listed in subsection (1) of this section,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may include the provisions in section 3 of this act.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water supply is established to review the treatment of groundwater withdrawals that are exempt from permitting requirements under RCW 90.44.050 and to review the implementation of RCW 19.27.097 and 36.70A.070. The task force must consist of the following members:</w:t>
      </w:r>
    </w:p>
    <w:p>
      <w:pPr>
        <w:spacing w:before="0" w:after="0" w:line="408" w:lineRule="exact"/>
        <w:ind w:left="0" w:right="0" w:firstLine="576"/>
        <w:jc w:val="left"/>
      </w:pPr>
      <w:r>
        <w:rPr/>
        <w:t xml:space="preserve">(a) Appointed by the president of the senate, two members from each of the two largest caucuses of the senate;</w:t>
      </w:r>
    </w:p>
    <w:p>
      <w:pPr>
        <w:spacing w:before="0" w:after="0" w:line="408" w:lineRule="exact"/>
        <w:ind w:left="0" w:right="0" w:firstLine="576"/>
        <w:jc w:val="left"/>
      </w:pPr>
      <w:r>
        <w:rPr/>
        <w:t xml:space="preserve">(b) Appointed by the speaker of the house of representatives, two members from each of the two largest caucuses of the house of representatives;</w:t>
      </w:r>
    </w:p>
    <w:p>
      <w:pPr>
        <w:spacing w:before="0" w:after="0" w:line="408" w:lineRule="exact"/>
        <w:ind w:left="0" w:right="0" w:firstLine="576"/>
        <w:jc w:val="left"/>
      </w:pPr>
      <w:r>
        <w:rPr/>
        <w:t xml:space="preserve">(c) A representative from the department of ecology, chosen by the director of the department of ecology;</w:t>
      </w:r>
    </w:p>
    <w:p>
      <w:pPr>
        <w:spacing w:before="0" w:after="0" w:line="408" w:lineRule="exact"/>
        <w:ind w:left="0" w:right="0" w:firstLine="576"/>
        <w:jc w:val="left"/>
      </w:pPr>
      <w:r>
        <w:rPr/>
        <w:t xml:space="preserve">(d) A representative from the department of fish and wildlife, chosen by the director of the department of fish and wildlife;</w:t>
      </w:r>
    </w:p>
    <w:p>
      <w:pPr>
        <w:spacing w:before="0" w:after="0" w:line="408" w:lineRule="exact"/>
        <w:ind w:left="0" w:right="0" w:firstLine="576"/>
        <w:jc w:val="left"/>
      </w:pPr>
      <w:r>
        <w:rPr/>
        <w:t xml:space="preserve">(e) A representative from the department of agriculture, chosen by the director of the department of agriculture;</w:t>
      </w:r>
    </w:p>
    <w:p>
      <w:pPr>
        <w:spacing w:before="0" w:after="0" w:line="408" w:lineRule="exact"/>
        <w:ind w:left="0" w:right="0" w:firstLine="576"/>
        <w:jc w:val="left"/>
      </w:pPr>
      <w:r>
        <w:rPr/>
        <w:t xml:space="preserve">(f) One individual for each of the following groups, appointed by the consensus of the cochairs of the committee:</w:t>
      </w:r>
    </w:p>
    <w:p>
      <w:pPr>
        <w:spacing w:before="0" w:after="0" w:line="408" w:lineRule="exact"/>
        <w:ind w:left="0" w:right="0" w:firstLine="576"/>
        <w:jc w:val="left"/>
      </w:pPr>
      <w:r>
        <w:rPr/>
        <w:t xml:space="preserve">(i) An environmental advocacy organization;</w:t>
      </w:r>
    </w:p>
    <w:p>
      <w:pPr>
        <w:spacing w:before="0" w:after="0" w:line="408" w:lineRule="exact"/>
        <w:ind w:left="0" w:right="0" w:firstLine="576"/>
        <w:jc w:val="left"/>
      </w:pPr>
      <w:r>
        <w:rPr/>
        <w:t xml:space="preserve">(ii) An organization representing Washington counties;</w:t>
      </w:r>
    </w:p>
    <w:p>
      <w:pPr>
        <w:spacing w:before="0" w:after="0" w:line="408" w:lineRule="exact"/>
        <w:ind w:left="0" w:right="0" w:firstLine="576"/>
        <w:jc w:val="left"/>
      </w:pPr>
      <w:r>
        <w:rPr/>
        <w:t xml:space="preserve">(iii) An organization representing Washington cities; and</w:t>
      </w:r>
    </w:p>
    <w:p>
      <w:pPr>
        <w:spacing w:before="0" w:after="0" w:line="408" w:lineRule="exact"/>
        <w:ind w:left="0" w:right="0" w:firstLine="576"/>
        <w:jc w:val="left"/>
      </w:pPr>
      <w:r>
        <w:rPr/>
        <w:t xml:space="preserve">(iv) An organization representing the development community; and</w:t>
      </w:r>
    </w:p>
    <w:p>
      <w:pPr>
        <w:spacing w:before="0" w:after="0" w:line="408" w:lineRule="exact"/>
        <w:ind w:left="0" w:right="0" w:firstLine="576"/>
        <w:jc w:val="left"/>
      </w:pPr>
      <w:r>
        <w:rPr/>
        <w:t xml:space="preserve">(g) Representatives of three Indian tribes, two invited by the cochairs to participate at the recommendation of the northwest Indian fisheries commission, and one invited to participate at the recommendation of the Columbia river intertribal fish commission.</w:t>
      </w:r>
    </w:p>
    <w:p>
      <w:pPr>
        <w:spacing w:before="0" w:after="0" w:line="408" w:lineRule="exact"/>
        <w:ind w:left="0" w:right="0" w:firstLine="576"/>
        <w:jc w:val="left"/>
      </w:pPr>
      <w:r>
        <w:rPr/>
        <w:t xml:space="preserve">(2) The first meeting of the task force must occur by September 30, 2017. One cochair of the task force must be a member of the largest caucus of the house of representatives, and one cochair must be a member of the largest caucus of the senate, as those caucuses existed as of the effective date of this section.</w:t>
      </w:r>
    </w:p>
    <w:p>
      <w:pPr>
        <w:spacing w:before="0" w:after="0" w:line="408" w:lineRule="exact"/>
        <w:ind w:left="0" w:right="0" w:firstLine="576"/>
        <w:jc w:val="left"/>
      </w:pPr>
      <w:r>
        <w:rPr/>
        <w:t xml:space="preserve">(3)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(4) Within existing appropriations, the expenses of the operations of the task force, including the expenses associated with the task force's meetings, must be paid jointly and in equal amounts by the senate and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(5)(a) By December 1, 2018, the joint legislative task force must make recommendations to the legislature.</w:t>
      </w:r>
    </w:p>
    <w:p>
      <w:pPr>
        <w:spacing w:before="0" w:after="0" w:line="408" w:lineRule="exact"/>
        <w:ind w:left="0" w:right="0" w:firstLine="576"/>
        <w:jc w:val="left"/>
      </w:pPr>
      <w:r>
        <w:rPr/>
        <w:t xml:space="preserve">(b) Recommendations of the joint legislative task force must be made by a two-thirds majority of the members of the committee. The representatives of the departments of ecology, fish and wildlife, and agriculture are not entitled to vote on the recommendations. Minority recommendations that achieve the support of at least five of the named voting members of the committee may also be submitted to the legislature.</w:t>
      </w:r>
    </w:p>
    <w:p>
      <w:pPr>
        <w:spacing w:before="0" w:after="0" w:line="408" w:lineRule="exact"/>
        <w:ind w:left="0" w:right="0" w:firstLine="576"/>
        <w:jc w:val="left"/>
      </w:pPr>
      <w:r>
        <w:rPr/>
        <w:t xml:space="preserve">(6) The joint legislative task force expires June 30, 2019.</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3 of this act expire January 1, 2019.</w:t>
      </w:r>
    </w:p>
    <w:p>
      <w:pPr>
        <w:spacing w:before="0" w:after="0" w:line="408" w:lineRule="exact"/>
        <w:ind w:left="0" w:right="0" w:firstLine="576"/>
        <w:jc w:val="left"/>
      </w:pPr>
      <w:r>
        <w:rPr/>
        <w:t xml:space="preserve">(2) Section 2 of this act expires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which takes effect July 23, 2017,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6e421d0ec3849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5886f591284774" /><Relationship Type="http://schemas.openxmlformats.org/officeDocument/2006/relationships/footer" Target="/word/footer.xml" Id="Rb6e421d0ec38493f" /></Relationships>
</file>