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d763d2e9e4b01" /></Relationships>
</file>

<file path=word/document.xml><?xml version="1.0" encoding="utf-8"?>
<w:document xmlns:w="http://schemas.openxmlformats.org/wordprocessingml/2006/main">
  <w:body>
    <w:p>
      <w:r>
        <w:t>H-2919.2</w:t>
      </w:r>
    </w:p>
    <w:p>
      <w:pPr>
        <w:jc w:val="center"/>
      </w:pPr>
      <w:r>
        <w:t>_______________________________________________</w:t>
      </w:r>
    </w:p>
    <w:p/>
    <w:p>
      <w:pPr>
        <w:jc w:val="center"/>
      </w:pPr>
      <w:r>
        <w:rPr>
          <w:b/>
        </w:rPr>
        <w:t>HOUSE BILL 2241</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 DeBolt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28B.10.027, and 28B.50.360; amending 2015 3rd sp.s. c 3 ss 1002, 1026, 1028, 6005, 3118, 3101, 3198, 3200, 3202, 3204, 3197, 3188, 3187, and 5034 (uncodified); amending 2016 sp.s. c 35 ss 1008, 1015, 1016, 2011, 3018, 3026, and 5004 (uncodified); reenacting and amending RCW 43.19.501; adding new sections to 2015 3rd sp.s. c 3 (uncodified);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of this section,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(a) $4,000,000 is provided solely for crisis diversion beds that are not subject to federal funding restrictions that apply to institutions of mental diseases; and</w:t>
      </w:r>
    </w:p>
    <w:p>
      <w:pPr>
        <w:spacing w:before="0" w:after="0" w:line="408" w:lineRule="exact"/>
        <w:ind w:left="0" w:right="0" w:firstLine="576"/>
        <w:jc w:val="left"/>
      </w:pPr>
      <w:r>
        <w:rPr/>
        <w:t xml:space="preserve">(b) $4,000,000 is provided solely for the department to provide grants to community hospitals or freestanding evaluation and treatment providers to develop capacity for beds to serve individuals on ninety or one hundred eighty-day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$330,000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$1,420,000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$846,000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$84,000</w:t>
      </w:r>
    </w:p>
    <w:p>
      <w:pPr>
        <w:tabs>
          <w:tab w:val="right" w:leader="dot" w:pos="9936"/>
        </w:tabs>
        <w:ind w:left="0" w:right="0" w:firstLine="1440"/>
      </w:pPr>
      <w:r>
        <w:rPr/>
        <w:t xml:space="preserve">Subtotal Appropriation</w:t>
      </w:r>
      <w:r>
        <w:tab/>
      </w:r>
      <w:r>
        <w:rPr/>
        <w:t xml:space="preserve">$2,680,000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1022,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$45,476,000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$51,528,000</w:t>
      </w:r>
    </w:p>
    <w:p>
      <w:pPr>
        <w:tabs>
          <w:tab w:val="right" w:leader="dot" w:pos="9936"/>
        </w:tabs>
        <w:ind w:left="0" w:right="0" w:firstLine="1440"/>
      </w:pPr>
      <w:r>
        <w:rPr/>
        <w:t xml:space="preserve">Subtotal Reappropriation</w:t>
      </w:r>
      <w:r>
        <w:tab/>
      </w:r>
      <w:r>
        <w:rPr/>
        <w:t xml:space="preserve">$70,053,000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$1,941,000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 in this section are subject to the following conditions and limitations: The reappropriations are subject to the provisions of section 3026,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$8,780,000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Nutrient Demonstrations Low Interest Loans (92000009)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$95,518,000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$206,349,000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$252,269,000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projects approved by the superintendent of public instruction for grants awarded in the July 2017 release.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$340,297,000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w:t>
      </w:r>
    </w:p>
    <w:p>
      <w:pPr>
        <w:spacing w:before="0" w:after="0" w:line="408" w:lineRule="exact"/>
        <w:ind w:left="0" w:right="0" w:firstLine="1152"/>
        <w:jc w:val="left"/>
        <w:tabs>
          <w:tab w:val="right" w:leader="dot" w:pos="9936"/>
        </w:tabs>
      </w:pPr>
      <w:r>
        <w:rPr/>
        <w:t xml:space="preserve">Building Account—State</w:t>
      </w:r>
      <w:r>
        <w:tab/>
      </w:r>
      <w:r>
        <w:rPr/>
        <w:t xml:space="preserve">$4,559,000</w:t>
      </w:r>
    </w:p>
    <w:p>
      <w:pPr>
        <w:tabs>
          <w:tab w:val="right" w:leader="dot" w:pos="9936"/>
        </w:tabs>
        <w:ind w:left="0" w:right="0" w:firstLine="1440"/>
      </w:pPr>
      <w:r>
        <w:rPr/>
        <w:t xml:space="preserve">Subtotal Appropriation</w:t>
      </w:r>
      <w:r>
        <w:tab/>
      </w:r>
      <w:r>
        <w:rPr/>
        <w:t xml:space="preserve">$347,856,000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w:t>
      </w:r>
      <w:r>
        <w:t>((</w:t>
      </w:r>
      <w:r>
        <w:rPr>
          <w:strike/>
        </w:rPr>
        <w:t xml:space="preserve">of this act</w:t>
      </w:r>
      <w:r>
        <w:t>))</w:t>
      </w:r>
      <w:r>
        <w:rPr>
          <w:u w:val="single"/>
        </w:rPr>
        <w:t xml:space="preserve">, chapter 3, Laws of 2015 3rd sp. sess.</w:t>
      </w:r>
      <w:r>
        <w:rPr/>
        <w:t xml:space="preserve">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$13,250,000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$13,350,000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$23,400,000</w:t>
      </w:r>
      <w:r>
        <w:t>))</w:t>
      </w:r>
    </w:p>
    <w:p>
      <w:pPr>
        <w:spacing w:before="0" w:after="0" w:line="408" w:lineRule="exact"/>
        <w:ind w:left="0" w:right="0" w:firstLine="0"/>
        <w:jc w:val="left"/>
        <w:tabs>
          <w:tab w:val="right" w:leader="none" w:pos="9936"/>
        </w:tabs>
      </w:pPr>
      <w:r>
        <w:tab/>
      </w:r>
      <w:r>
        <w:rPr>
          <w:u w:val="single"/>
        </w:rPr>
        <w:t xml:space="preserve">$27,050,000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w:t>
      </w:r>
      <w:r>
        <w:t>((</w:t>
      </w:r>
      <w:r>
        <w:rPr>
          <w:strike/>
        </w:rPr>
        <w:t xml:space="preserve">low interest loans for two or more</w:t>
      </w:r>
      <w:r>
        <w:t>))</w:t>
      </w:r>
      <w:r>
        <w:rPr/>
        <w:t xml:space="preserve"> </w:t>
      </w:r>
      <w:r>
        <w:rPr>
          <w:u w:val="single"/>
        </w:rPr>
        <w:t xml:space="preserve">nonshellfish projects assisting landowners to address impacts to water quality, air quality, and water resources, and other impacts to natural resources. Of this amount, $2,000,000 is provided solely for grants for</w:t>
      </w:r>
      <w:r>
        <w:rPr/>
        <w:t xml:space="preserve"> dairy nutrient management </w:t>
      </w:r>
      <w:r>
        <w:t>((</w:t>
      </w:r>
      <w:r>
        <w:rPr>
          <w:strike/>
        </w:rPr>
        <w:t xml:space="preserve">demonstration</w:t>
      </w:r>
      <w:r>
        <w:t>))</w:t>
      </w:r>
      <w:r>
        <w:rPr/>
        <w:t xml:space="preserve">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$316,043,000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$234,343,000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biennium, sums in the capital projects account shall also be used for routine facility maintenance and utility costs. </w:t>
      </w:r>
      <w:r>
        <w:rPr>
          <w:u w:val="single"/>
        </w:rPr>
        <w:t xml:space="preserve">However, during the 2017-2019 biennium, sums in the capital products account may also be used for project management staff.</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prior authorized general obligation bond proceeds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used for costs associated with staffing to support capital budget and project activities and lease and facility oversight activities. During the 2017-2019 fiscal biennium, the Thurston county capital facilities account may be used for projects for community-based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82debaaa2e46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e82890dac4da0" /><Relationship Type="http://schemas.openxmlformats.org/officeDocument/2006/relationships/footer" Target="/word/footer.xml" Id="Rfa82debaaa2e462c" /></Relationships>
</file>