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6fc44e7b944272" /></Relationships>
</file>

<file path=word/document.xml><?xml version="1.0" encoding="utf-8"?>
<w:document xmlns:w="http://schemas.openxmlformats.org/wordprocessingml/2006/main">
  <w:body>
    <w:p>
      <w:r>
        <w:t>H-4430.1</w:t>
      </w:r>
    </w:p>
    <w:p>
      <w:pPr>
        <w:jc w:val="center"/>
      </w:pPr>
      <w:r>
        <w:t>_______________________________________________</w:t>
      </w:r>
    </w:p>
    <w:p/>
    <w:p>
      <w:pPr>
        <w:jc w:val="center"/>
      </w:pPr>
      <w:r>
        <w:rPr>
          <w:b/>
        </w:rPr>
        <w:t>SUBSTITUTE HOUSE BILL 2253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Graves, Dye, Kilduff, Jinkins, and Young)</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 to control disposition of the remains of a deceased minor child; amending RCW 68.50.160; and adding new sections to chapter 68.50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shall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r>
        <w:rPr>
          <w:u w:val="single"/>
        </w:rPr>
        <w:t xml:space="preserve">. If the decedent is a minor and the surviving parents do not agree about the disposition of the decedent's remains, the right to control disposition of the decedent's remains is governed by section 2 of this act</w:t>
      </w:r>
      <w:r>
        <w:rPr/>
        <w:t xml:space="preserve">;</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shall have the right to rely on an authority to bury or cremate the human remains, executed by the most responsible party available, and the cemetery authority or funeral establishment may not be held criminally or civilly liable for burying or cremating the human remains. In the event any government agency or charitable organization provides the funds for the disposition of any human remains, the cemetery authority or funeral establishment may not be held criminally or civilly liable for cremating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In any case in which the right to control the disposition of the remains of a deceased minor child vests in the surviving parents of the child and the surviving parents do not agree about the disposition of the decedent's remains, the surviving parents shall attempt to resolve disagreements about disposition of the decedent's remains promptly and in good faith through mediation.</w:t>
      </w:r>
    </w:p>
    <w:p>
      <w:pPr>
        <w:spacing w:before="0" w:after="0" w:line="408" w:lineRule="exact"/>
        <w:ind w:left="0" w:right="0" w:firstLine="576"/>
        <w:jc w:val="left"/>
      </w:pPr>
      <w:r>
        <w:rPr/>
        <w:t xml:space="preserve">(b) If the parents cannot reach agreement through mediation, any parent may file a petition in superior court to decide the matter. The petition must be filed in the superior court of a county where a parent maintained a residence with the decedent at the time of death. The petition must identify with specificity the areas of disagreement and must be accompanied by an affidavit by the petitioner setting forth the factual basis for the petition and the petitioner's proposed resolution of the dispute. The petition must be served in accordance with the civil rules on the other surviving parent or parents, who may file and serve a response to the petition no later than four days prior to the hearing on the matter. A response must be accompanied by an affidavit by the respondent setting forth the factual basis for the response and the respondent's proposed resolution of the dispute. The court shall hear the petition without a jury within ten days after proof of service of the petition is filed with the court. No discovery shall be authorized except as specifically ordered by the court. The court shall issue a written decision within three judicial days of the hearing and shall consider the following factors:</w:t>
      </w:r>
    </w:p>
    <w:p>
      <w:pPr>
        <w:spacing w:before="0" w:after="0" w:line="408" w:lineRule="exact"/>
        <w:ind w:left="0" w:right="0" w:firstLine="576"/>
        <w:jc w:val="left"/>
      </w:pPr>
      <w:r>
        <w:rPr/>
        <w:t xml:space="preserve">(i) The reasonableness, practicality, and resources available for payment of the proposed arrangements and final disposition;</w:t>
      </w:r>
    </w:p>
    <w:p>
      <w:pPr>
        <w:spacing w:before="0" w:after="0" w:line="408" w:lineRule="exact"/>
        <w:ind w:left="0" w:right="0" w:firstLine="576"/>
        <w:jc w:val="left"/>
      </w:pPr>
      <w:r>
        <w:rPr/>
        <w:t xml:space="preserve">(ii) The expressed wishes of the decedent, if the court finds the decedent was sufficiently mature to express reasoned and independent preferences as to disposition of his or her remains; and</w:t>
      </w:r>
    </w:p>
    <w:p>
      <w:pPr>
        <w:spacing w:before="0" w:after="0" w:line="408" w:lineRule="exact"/>
        <w:ind w:left="0" w:right="0" w:firstLine="576"/>
        <w:jc w:val="left"/>
      </w:pPr>
      <w:r>
        <w:rPr/>
        <w:t xml:space="preserve">(iii) The degree to which the arrangements and final disposition will accommodate the reasonable wishes of all surviving parents and will allow for participation by all who wish to pay respect to the decedent.</w:t>
      </w:r>
    </w:p>
    <w:p>
      <w:pPr>
        <w:spacing w:before="0" w:after="0" w:line="408" w:lineRule="exact"/>
        <w:ind w:left="0" w:right="0" w:firstLine="576"/>
        <w:jc w:val="left"/>
      </w:pPr>
      <w:r>
        <w:rPr/>
        <w:t xml:space="preserve">(2) If the court finds that a party frustrated the mediation process without good reason, the court may order that party to pay the reasonable attorneys' fees and costs of the other party or parties, including reasonable attorneys' fees and costs incurred in connection with 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cemetery authority as defined in RCW 68.04.190 or a funeral establishment licensed under chapter 18.39 RCW may not be held criminally or civilly liable for burying or cremating remains pursuant to a representation from a parent about an agreement concerning disposition of the remains, or a court order relating to disposition of the remains, under the provisions of section 2 of this act.</w:t>
      </w:r>
    </w:p>
    <w:p/>
    <w:p>
      <w:pPr>
        <w:jc w:val="center"/>
      </w:pPr>
      <w:r>
        <w:rPr>
          <w:b/>
        </w:rPr>
        <w:t>--- END ---</w:t>
      </w:r>
    </w:p>
    <w:sectPr>
      <w:pgNumType w:start="1"/>
      <w:footerReference xmlns:r="http://schemas.openxmlformats.org/officeDocument/2006/relationships" r:id="Rb93d704fed8c47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c859afcb54170" /><Relationship Type="http://schemas.openxmlformats.org/officeDocument/2006/relationships/footer" Target="/word/footer.xml" Id="Rb93d704fed8c4785" /></Relationships>
</file>