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d00c7f778f4407" /></Relationships>
</file>

<file path=word/document.xml><?xml version="1.0" encoding="utf-8"?>
<w:document xmlns:w="http://schemas.openxmlformats.org/wordprocessingml/2006/main">
  <w:body>
    <w:p>
      <w:r>
        <w:t>Z-0661.2</w:t>
      </w:r>
    </w:p>
    <w:p>
      <w:pPr>
        <w:jc w:val="center"/>
      </w:pPr>
      <w:r>
        <w:t>_______________________________________________</w:t>
      </w:r>
    </w:p>
    <w:p/>
    <w:p>
      <w:pPr>
        <w:jc w:val="center"/>
      </w:pPr>
      <w:r>
        <w:rPr>
          <w:b/>
        </w:rPr>
        <w:t>HOUSE BILL 2325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Riccelli, Haler, Ryu, Pellicciotti, Harris, Macri, Tharinger, Valdez, Frame, Jinkins, Doglio, Pollet, Stonier, and Appleton; by request of Attorney General</w:t>
      </w:r>
    </w:p>
    <w:p/>
    <w:p>
      <w:r>
        <w:rPr>
          <w:t xml:space="preserve">Prefiled 12/26/17.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drug monitoring program; amending RCW 70.225.010; reenacting and amending RCW 69.50.308; and adding a new section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2016 c 148 s 8 are each reenacted and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and</w:t>
      </w:r>
    </w:p>
    <w:p>
      <w:pPr>
        <w:spacing w:before="0" w:after="0" w:line="408" w:lineRule="exact"/>
        <w:ind w:left="0" w:right="0" w:firstLine="576"/>
        <w:jc w:val="left"/>
      </w:pPr>
      <w:r>
        <w:rPr/>
        <w:t xml:space="preserve">(iii)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A written, oral, or electronically communicated prescription for a substance included in Schedule III, IV, or V, which is a prescription drug as determined under RCW 69.04.560, for a resident in a long-term care facility or hospice program may be communicated to the pharmacy by an authorized agent of the prescriber. A registered nurse, pharmacist, or physician practicing in a long-term care facility or hospice program may act as the practitioner's agent for purposes of this section, without need for a written agency agreement.</w:t>
      </w:r>
    </w:p>
    <w:p>
      <w:pPr>
        <w:spacing w:before="0" w:after="0" w:line="408" w:lineRule="exact"/>
        <w:ind w:left="0" w:right="0" w:firstLine="576"/>
        <w:jc w:val="left"/>
      </w:pPr>
      <w:r>
        <w:rPr/>
        <w:t xml:space="preserve">(g)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rPr/>
        <w:t xml:space="preserve">(h)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rPr/>
        <w:t xml:space="preserve">(i) A substance included in Schedule V must be distributed or dispensed only for a medical purpose.</w:t>
      </w:r>
    </w:p>
    <w:p>
      <w:pPr>
        <w:spacing w:before="0" w:after="0" w:line="408" w:lineRule="exact"/>
        <w:ind w:left="0" w:right="0" w:firstLine="576"/>
        <w:jc w:val="left"/>
      </w:pPr>
      <w:r>
        <w:rPr/>
        <w:t xml:space="preserve">(j)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rPr/>
        <w:t xml:space="preserve">(k)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rPr/>
        <w:t xml:space="preserve">(l) An individual practitioner may not dispense a substance included in Schedule II, III, or IV for that individual practitioner's personal use.</w:t>
      </w:r>
    </w:p>
    <w:p>
      <w:pPr>
        <w:spacing w:before="0" w:after="0" w:line="408" w:lineRule="exact"/>
        <w:ind w:left="0" w:right="0" w:firstLine="576"/>
        <w:jc w:val="left"/>
      </w:pPr>
      <w:r>
        <w:t>((</w:t>
      </w:r>
      <w:r>
        <w:rPr>
          <w:strike/>
        </w:rPr>
        <w:t xml:space="preserve">(4) [(m)]</w:t>
      </w:r>
      <w:r>
        <w:t>))</w:t>
      </w:r>
      <w:r>
        <w:rPr/>
        <w:t xml:space="preserve"> </w:t>
      </w:r>
      <w:r>
        <w:rPr>
          <w:u w:val="single"/>
        </w:rPr>
        <w:t xml:space="preserve">(m)</w:t>
      </w:r>
      <w:r>
        <w:rPr/>
        <w:t xml:space="preserve"> For the purposes of this section, the terms "long-term care facility" and "hospice program" have the </w:t>
      </w:r>
      <w:r>
        <w:t>((</w:t>
      </w:r>
      <w:r>
        <w:rPr>
          <w:strike/>
        </w:rPr>
        <w:t xml:space="preserve">meaning[s]</w:t>
      </w:r>
      <w:r>
        <w:t>))</w:t>
      </w:r>
      <w:r>
        <w:rPr/>
        <w:t xml:space="preserve"> </w:t>
      </w:r>
      <w:r>
        <w:rPr>
          <w:u w:val="single"/>
        </w:rPr>
        <w:t xml:space="preserve">meanings</w:t>
      </w:r>
      <w:r>
        <w:rPr/>
        <w:t xml:space="preserve"> provided in RCW 18.64.011.</w:t>
      </w:r>
    </w:p>
    <w:p>
      <w:pPr>
        <w:spacing w:before="0" w:after="0" w:line="408" w:lineRule="exact"/>
        <w:ind w:left="0" w:right="0" w:firstLine="576"/>
        <w:jc w:val="left"/>
      </w:pPr>
      <w:r>
        <w:rPr>
          <w:u w:val="single"/>
        </w:rPr>
        <w:t xml:space="preserve">(n) Prior to issuing a prescription for an opiate or benzodiazepine, a practitioner must review the patient's controlled substance history in the prescription monitoring program established in chapter 70.225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"Practitioner" means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and an advanced registered nurse practitioner licensed to prescribe controlled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prior to issuing a prescription for an opiate or benzodiazepine, a practitioner must review the patient's prescription monitoring information.</w:t>
      </w:r>
    </w:p>
    <w:p>
      <w:pPr>
        <w:spacing w:before="0" w:after="0" w:line="408" w:lineRule="exact"/>
        <w:ind w:left="0" w:right="0" w:firstLine="576"/>
        <w:jc w:val="left"/>
      </w:pPr>
      <w:r>
        <w:rPr/>
        <w:t xml:space="preserve">(2) A practitioner must document in the patient's medical record review of the prescription monitoring information or, if the practitioner does not review the prescription monitoring information, the practitioner must document in the patient's medical record the reason such review was not performed, including the specific exception listed in subsection (3) of this section.</w:t>
      </w:r>
    </w:p>
    <w:p>
      <w:pPr>
        <w:spacing w:before="0" w:after="0" w:line="408" w:lineRule="exact"/>
        <w:ind w:left="0" w:right="0" w:firstLine="576"/>
        <w:jc w:val="left"/>
      </w:pPr>
      <w:r>
        <w:rPr/>
        <w:t xml:space="preserve">(3) The duty to consult the prescription monitoring program does not apply:</w:t>
      </w:r>
    </w:p>
    <w:p>
      <w:pPr>
        <w:spacing w:before="0" w:after="0" w:line="408" w:lineRule="exact"/>
        <w:ind w:left="0" w:right="0" w:firstLine="576"/>
        <w:jc w:val="left"/>
      </w:pPr>
      <w:r>
        <w:rPr/>
        <w:t xml:space="preserve">(a) To medications administered to patients receiving inpatient services provided at hospitals licensed under chapter 70.41 RCW, or to patients of such hospitals receiving services at the clinics, day surgery areas, or other settings within the hospital's license when the medications are administered to the patient in that setting;</w:t>
      </w:r>
    </w:p>
    <w:p>
      <w:pPr>
        <w:spacing w:before="0" w:after="0" w:line="408" w:lineRule="exact"/>
        <w:ind w:left="0" w:right="0" w:firstLine="576"/>
        <w:jc w:val="left"/>
      </w:pPr>
      <w:r>
        <w:rPr/>
        <w:t xml:space="preserve">(b) To medications administered to offenders in department of corrections institutions;</w:t>
      </w:r>
    </w:p>
    <w:p>
      <w:pPr>
        <w:spacing w:before="0" w:after="0" w:line="408" w:lineRule="exact"/>
        <w:ind w:left="0" w:right="0" w:firstLine="576"/>
        <w:jc w:val="left"/>
      </w:pPr>
      <w:r>
        <w:rPr/>
        <w:t xml:space="preserve">(c) When providing emergency care, as defined in RCW 4.24.310, and in the professional opinion of the practitioner, delaying care to view the patient's prescription monitoring program profile will adversely affect the patient's outcome; or</w:t>
      </w:r>
    </w:p>
    <w:p>
      <w:pPr>
        <w:spacing w:before="0" w:after="0" w:line="408" w:lineRule="exact"/>
        <w:ind w:left="0" w:right="0" w:firstLine="576"/>
        <w:jc w:val="left"/>
      </w:pPr>
      <w:r>
        <w:rPr/>
        <w:t xml:space="preserve">(d) When the prescription monitoring program cannot be accessed by the practitioner due to a temporary technological or electrical failure.</w:t>
      </w:r>
    </w:p>
    <w:p/>
    <w:p>
      <w:pPr>
        <w:jc w:val="center"/>
      </w:pPr>
      <w:r>
        <w:rPr>
          <w:b/>
        </w:rPr>
        <w:t>--- END ---</w:t>
      </w:r>
    </w:p>
    <w:sectPr>
      <w:pgNumType w:start="1"/>
      <w:footerReference xmlns:r="http://schemas.openxmlformats.org/officeDocument/2006/relationships" r:id="Raf0aa527086246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c26704a62460a" /><Relationship Type="http://schemas.openxmlformats.org/officeDocument/2006/relationships/footer" Target="/word/footer.xml" Id="Raf0aa5270862467a" /></Relationships>
</file>