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19b52340c4d5c" /></Relationships>
</file>

<file path=word/document.xml><?xml version="1.0" encoding="utf-8"?>
<w:document xmlns:w="http://schemas.openxmlformats.org/wordprocessingml/2006/main">
  <w:body>
    <w:p>
      <w:r>
        <w:t>H-3305.2</w:t>
      </w:r>
    </w:p>
    <w:p>
      <w:pPr>
        <w:jc w:val="center"/>
      </w:pPr>
      <w:r>
        <w:t>_______________________________________________</w:t>
      </w:r>
    </w:p>
    <w:p/>
    <w:p>
      <w:pPr>
        <w:jc w:val="center"/>
      </w:pPr>
      <w:r>
        <w:rPr>
          <w:b/>
        </w:rPr>
        <w:t>HOUSE BILL 2327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Morris, Hudgins, Tarleton, Fey, Slatter, Fitzgibbon, Macri, Ormsby, and Doglio</w:t>
      </w:r>
    </w:p>
    <w:p/>
    <w:p>
      <w:r>
        <w:rPr>
          <w:t xml:space="preserve">Prefiled 12/26/17.</w:t>
        </w:rPr>
      </w:r>
      <w:r>
        <w:rPr>
          <w:t xml:space="preserve">Read first time 01/08/18.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appliance efficiency standards; amending RCW 19.260.010, 19.260.030, 19.260.040, 19.260.050, 19.260.060, and 19.260.070; reenacting and amending RCW 19.260.020; and repealing RCW 19.27.170.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010</w:t>
      </w:r>
      <w:r>
        <w:rPr/>
        <w:t xml:space="preserve"> and 2005 c 298 s 1 are each amended to read as follows:</w:t>
      </w:r>
    </w:p>
    <w:p>
      <w:pPr>
        <w:spacing w:before="0" w:after="0" w:line="408" w:lineRule="exact"/>
        <w:ind w:left="0" w:right="0" w:firstLine="576"/>
        <w:jc w:val="left"/>
      </w:pPr>
      <w:r>
        <w:rPr/>
        <w:t xml:space="preserve">The legislature finds that </w:t>
      </w:r>
      <w:r>
        <w:rPr>
          <w:u w:val="single"/>
        </w:rPr>
        <w:t xml:space="preserve">efficiency standards</w:t>
      </w:r>
      <w:r>
        <w:rPr/>
        <w:t xml:space="preserve">:</w:t>
      </w:r>
    </w:p>
    <w:p>
      <w:pPr>
        <w:spacing w:before="0" w:after="0" w:line="408" w:lineRule="exact"/>
        <w:ind w:left="0" w:right="0" w:firstLine="576"/>
        <w:jc w:val="left"/>
      </w:pPr>
      <w:r>
        <w:rPr/>
        <w:t xml:space="preserve">(1) </w:t>
      </w:r>
      <w:r>
        <w:t>((</w:t>
      </w:r>
      <w:r>
        <w:rPr>
          <w:strike/>
        </w:rPr>
        <w:t xml:space="preserve">According to estimates of the department of community, trade, and economic development, the efficiency standards set forth in chapter 298, Laws of 2005 will save nine hundred thousand megawatt-hours of electricity, thirteen million therms of natural gas, and one billion seven hundred million gallons of water in the year 2020, fourteen years after the standards have become effective, with a total net present value to buyers of four hundred ninety million dollars in 2020.</w:t>
      </w:r>
    </w:p>
    <w:p>
      <w:pPr>
        <w:spacing w:before="0" w:after="0" w:line="408" w:lineRule="exact"/>
        <w:ind w:left="0" w:right="0" w:firstLine="576"/>
        <w:jc w:val="left"/>
      </w:pPr>
      <w:r>
        <w:rPr>
          <w:strike/>
        </w:rPr>
        <w:t xml:space="preserve">(2) Efficiency standards</w:t>
      </w:r>
      <w:r>
        <w:t>))</w:t>
      </w:r>
      <w:r>
        <w:rPr/>
        <w:t xml:space="preserve"> </w:t>
      </w:r>
      <w:r>
        <w:rPr>
          <w:u w:val="single"/>
        </w:rPr>
        <w:t xml:space="preserve">F</w:t>
      </w:r>
      <w:r>
        <w:rPr/>
        <w:t xml:space="preserve">or certain products sold or installed in the state assure consumers and businesses that such products meet minimum efficiency performance levels thus saving money on utility bills.</w:t>
      </w:r>
    </w:p>
    <w:p>
      <w:pPr>
        <w:spacing w:before="0" w:after="0" w:line="408" w:lineRule="exact"/>
        <w:ind w:left="0" w:right="0" w:firstLine="576"/>
        <w:jc w:val="left"/>
      </w:pPr>
      <w:r>
        <w:t>((</w:t>
      </w:r>
      <w:r>
        <w:rPr>
          <w:strike/>
        </w:rPr>
        <w:t xml:space="preserve">(3) Efficiency standards</w:t>
      </w:r>
      <w:r>
        <w:t>))</w:t>
      </w:r>
      <w:r>
        <w:rPr/>
        <w:t xml:space="preserve"> </w:t>
      </w:r>
      <w:r>
        <w:rPr>
          <w:u w:val="single"/>
        </w:rPr>
        <w:t xml:space="preserve">(2) S</w:t>
      </w:r>
      <w:r>
        <w:rPr/>
        <w:t xml:space="preserve">ave energy and reduce pollution and other environmental impacts associated with the production, distribution, and use of electricity and natural gas.</w:t>
      </w:r>
    </w:p>
    <w:p>
      <w:pPr>
        <w:spacing w:before="0" w:after="0" w:line="408" w:lineRule="exact"/>
        <w:ind w:left="0" w:right="0" w:firstLine="576"/>
        <w:jc w:val="left"/>
      </w:pPr>
      <w:r>
        <w:t>((</w:t>
      </w:r>
      <w:r>
        <w:rPr>
          <w:strike/>
        </w:rPr>
        <w:t xml:space="preserve">(4)</w:t>
      </w:r>
      <w:r>
        <w:rPr>
          <w:strike/>
        </w:rPr>
        <w:t xml:space="preserve"> Efficiency standards</w:t>
      </w:r>
      <w:r>
        <w:t>))</w:t>
      </w:r>
      <w:r>
        <w:rPr/>
        <w:t xml:space="preserve"> </w:t>
      </w:r>
      <w:r>
        <w:rPr>
          <w:u w:val="single"/>
        </w:rPr>
        <w:t xml:space="preserve">(3) C</w:t>
      </w:r>
      <w:r>
        <w:rPr/>
        <w:t xml:space="preserve">ontribute to the economy of Washington by helping to better balance energy supply and demand, thus reducing pressure for higher natural gas and electricity prices. By saving consumers and businesses money on energy bills, efficiency standards help the state and local economy, since energy bill savings can be spent on local goods and services.</w:t>
      </w:r>
    </w:p>
    <w:p>
      <w:pPr>
        <w:spacing w:before="0" w:after="0" w:line="408" w:lineRule="exact"/>
        <w:ind w:left="0" w:right="0" w:firstLine="576"/>
        <w:jc w:val="left"/>
      </w:pPr>
      <w:r>
        <w:t>((</w:t>
      </w:r>
      <w:r>
        <w:rPr>
          <w:strike/>
        </w:rPr>
        <w:t xml:space="preserve">(5) Efficiency standards</w:t>
      </w:r>
      <w:r>
        <w:t>))</w:t>
      </w:r>
      <w:r>
        <w:rPr/>
        <w:t xml:space="preserve"> </w:t>
      </w:r>
      <w:r>
        <w:rPr>
          <w:u w:val="single"/>
        </w:rPr>
        <w:t xml:space="preserve">(4) C</w:t>
      </w:r>
      <w:r>
        <w:rPr/>
        <w:t xml:space="preserve">an make electricity systems more reliable by reducing the strain on the electricity grid during peak demand periods. Furthermore, improved energy efficiency can reduce or delay the need for new power plants, power transmission lines, and power distribution system upgrades.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strike/>
        </w:rPr>
        <w:t xml:space="preserve">(2)</w:t>
      </w:r>
      <w:r>
        <w:t>))</w:t>
      </w:r>
      <w:r>
        <w:rPr/>
        <w:t xml:space="preserve"> "Bottle-type water dispenser" means a water dispenser that uses a bottle or reservoir as the source of potable water.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t>((</w:t>
      </w:r>
      <w:r>
        <w:rPr>
          <w:strike/>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strike/>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"Compensation" means money or any other valuable thing, regardless of form, received or to be received by a person for services rendered.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"Hot water dispenser" means a small electric water heater that has a measured storage volume of no greater than one gallon.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t>((</w:t>
      </w:r>
      <w:r>
        <w:rPr>
          <w:strike/>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strike/>
        </w:rPr>
        <w:t xml:space="preserve">(13)</w:t>
      </w:r>
      <w:r>
        <w:t>))</w:t>
      </w:r>
      <w:r>
        <w:rPr/>
        <w:t xml:space="preserve"> </w:t>
      </w:r>
      <w:r>
        <w:rPr>
          <w:u w:val="single"/>
        </w:rPr>
        <w:t xml:space="preserve">(10)</w:t>
      </w:r>
      <w:r>
        <w:rPr/>
        <w:t xml:space="preserve"> "Point-of-use water dispenser" means a water dispenser that uses a pressurized water utility connection as the source of potable water.</w:t>
      </w:r>
    </w:p>
    <w:p>
      <w:pPr>
        <w:spacing w:before="0" w:after="0" w:line="408" w:lineRule="exact"/>
        <w:ind w:left="0" w:right="0" w:firstLine="576"/>
        <w:jc w:val="left"/>
      </w:pPr>
      <w:r>
        <w:t>((</w:t>
      </w:r>
      <w:r>
        <w:rPr>
          <w:strike/>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"Portable electric spa" means a factory-built electric spa or hot tub, supplied with equipment for heating and circulating water.</w:t>
      </w:r>
    </w:p>
    <w:p>
      <w:pPr>
        <w:spacing w:before="0" w:after="0" w:line="408" w:lineRule="exact"/>
        <w:ind w:left="0" w:right="0" w:firstLine="576"/>
        <w:jc w:val="left"/>
      </w:pPr>
      <w:r>
        <w:t>((</w:t>
      </w:r>
      <w:r>
        <w:rPr>
          <w:strike/>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strike/>
        </w:rPr>
        <w:t xml:space="preserve">(17)</w:t>
      </w:r>
      <w:r>
        <w:t>))</w:t>
      </w:r>
      <w:r>
        <w:rPr/>
        <w:t xml:space="preserve"> </w:t>
      </w:r>
      <w:r>
        <w:rPr>
          <w:u w:val="single"/>
        </w:rPr>
        <w:t xml:space="preserve">(12)</w:t>
      </w:r>
      <w:r>
        <w:rPr/>
        <w:t xml:space="preserve"> "Residential pool pump" means a pump used to circulate and filter pool water in order to maintain clarity and sanitation.</w:t>
      </w:r>
    </w:p>
    <w:p>
      <w:pPr>
        <w:spacing w:before="0" w:after="0" w:line="408" w:lineRule="exact"/>
        <w:ind w:left="0" w:right="0" w:firstLine="576"/>
        <w:jc w:val="left"/>
      </w:pPr>
      <w:r>
        <w:t>((</w:t>
      </w:r>
      <w:r>
        <w:rPr>
          <w:strike/>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strike/>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strike/>
        </w:rPr>
        <w:t xml:space="preserve">(19)</w:t>
      </w:r>
      <w:r>
        <w:t>))</w:t>
      </w:r>
      <w:r>
        <w:rPr/>
        <w:t xml:space="preserve"> </w:t>
      </w:r>
      <w:r>
        <w:rPr>
          <w:u w:val="single"/>
        </w:rPr>
        <w:t xml:space="preserve">(13)</w:t>
      </w:r>
      <w:r>
        <w:rPr/>
        <w:t xml:space="preserve"> "Showerhead" means a device through which water is discharged for a shower bath </w:t>
      </w:r>
      <w:r>
        <w:rPr>
          <w:u w:val="single"/>
        </w:rPr>
        <w:t xml:space="preserve">and includes a body sprayer and handheld showerhead but does not include a safety showerhead</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(14)</w:t>
      </w:r>
      <w:r>
        <w:rPr/>
        <w:t xml:space="preserve">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t>((</w:t>
      </w:r>
      <w:r>
        <w:rPr>
          <w:strike/>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strike/>
        </w:rPr>
        <w:t xml:space="preserve">(a) A bulged reflector or elliptical reflector bulb shape and which has a diameter which equals or exceeds 2.25 inches; or</w:t>
      </w:r>
    </w:p>
    <w:p>
      <w:pPr>
        <w:spacing w:before="0" w:after="0" w:line="408" w:lineRule="exact"/>
        <w:ind w:left="0" w:right="0" w:firstLine="576"/>
        <w:jc w:val="left"/>
      </w:pPr>
      <w:r>
        <w:rPr>
          <w:strike/>
        </w:rPr>
        <w:t xml:space="preserve">(b) A reflector, parabolic aluminized reflector, or similar bulb shape and which has a diameter of 2.25 to 2.75 inches.</w:t>
      </w:r>
    </w:p>
    <w:p>
      <w:pPr>
        <w:spacing w:before="0" w:after="0" w:line="408" w:lineRule="exact"/>
        <w:ind w:left="0" w:right="0" w:firstLine="576"/>
        <w:jc w:val="left"/>
      </w:pPr>
      <w:r>
        <w:rPr>
          <w:strike/>
        </w:rPr>
        <w:t xml:space="preserve">(22)</w:t>
      </w:r>
      <w:r>
        <w:t>))</w:t>
      </w:r>
      <w:r>
        <w:rPr/>
        <w:t xml:space="preserve"> </w:t>
      </w:r>
      <w:r>
        <w:rPr>
          <w:u w:val="single"/>
        </w:rPr>
        <w:t xml:space="preserve">(15)</w:t>
      </w:r>
      <w:r>
        <w:rPr/>
        <w:t xml:space="preserve"> "Tub spout diverter" means a device designed to stop the flow of water into a bathtub and to divert it so that the water discharges through a showerhead.</w:t>
      </w:r>
    </w:p>
    <w:p>
      <w:pPr>
        <w:spacing w:before="0" w:after="0" w:line="408" w:lineRule="exact"/>
        <w:ind w:left="0" w:right="0" w:firstLine="576"/>
        <w:jc w:val="left"/>
      </w:pPr>
      <w:r>
        <w:t>((</w:t>
      </w:r>
      <w:r>
        <w:rPr>
          <w:strike/>
        </w:rPr>
        <w:t xml:space="preserve">(23)</w:t>
      </w:r>
      <w:r>
        <w:t>))</w:t>
      </w:r>
      <w:r>
        <w:rPr/>
        <w:t xml:space="preserve"> </w:t>
      </w:r>
      <w:r>
        <w:rPr>
          <w:u w:val="single"/>
        </w:rPr>
        <w:t xml:space="preserve">(16)</w:t>
      </w:r>
      <w:r>
        <w:rPr/>
        <w:t xml:space="preserve"> "Wine chillers designed and sold for use by an individual" means refrigerators designed and sold for the cooling and storage of wine by an individual.</w:t>
      </w:r>
    </w:p>
    <w:p>
      <w:pPr>
        <w:spacing w:before="0" w:after="0" w:line="408" w:lineRule="exact"/>
        <w:ind w:left="0" w:right="0" w:firstLine="576"/>
        <w:jc w:val="left"/>
      </w:pPr>
      <w:r>
        <w:rPr>
          <w:u w:val="single"/>
        </w:rPr>
        <w:t xml:space="preserve">(17) "Air purifier" means an electric, cord-connected, portable appliance with the primary function of removing particulate matter from the air and which can be moved from room to room.</w:t>
      </w:r>
    </w:p>
    <w:p>
      <w:pPr>
        <w:spacing w:before="0" w:after="0" w:line="408" w:lineRule="exact"/>
        <w:ind w:left="0" w:right="0" w:firstLine="576"/>
        <w:jc w:val="left"/>
      </w:pPr>
      <w:r>
        <w:rPr>
          <w:u w:val="single"/>
        </w:rPr>
        <w:t xml:space="preserve">(18) "Audio or video product" means a mains-connected product that offers audio amplification or optical disc player functions.</w:t>
      </w:r>
    </w:p>
    <w:p>
      <w:pPr>
        <w:spacing w:before="0" w:after="0" w:line="408" w:lineRule="exact"/>
        <w:ind w:left="0" w:right="0" w:firstLine="576"/>
        <w:jc w:val="left"/>
      </w:pPr>
      <w:r>
        <w:rPr>
          <w:u w:val="single"/>
        </w:rPr>
        <w:t xml:space="preserve">(19) "Commercial dishwasher" means a machine designed to clean and sanitize plates, pots, pans, glasses, cups, bowls, utensils, and trays by applying sprays of detergent solution, with or without blasting media granules, and a sanitizing rinse.</w:t>
      </w:r>
    </w:p>
    <w:p>
      <w:pPr>
        <w:spacing w:before="0" w:after="0" w:line="408" w:lineRule="exact"/>
        <w:ind w:left="0" w:right="0" w:firstLine="576"/>
        <w:jc w:val="left"/>
      </w:pPr>
      <w:r>
        <w:rPr>
          <w:u w:val="single"/>
        </w:rPr>
        <w:t xml:space="preserve">(20) "Commercial fryer" means an appliance, including a cooking vessel, in which oil is placed to such a depth that the cooking food is supported by displacement of the cooking fluid rather than by the bottom of the vessel. Heat is delivered to the cooking fluid by means of an immersed electric element of band-wrapped vessel (electric fryers) or by heat transfer from gas burners through either the walls of the fryer or through tubes passing through the cooking fluid (gas fryers).</w:t>
      </w:r>
    </w:p>
    <w:p>
      <w:pPr>
        <w:spacing w:before="0" w:after="0" w:line="408" w:lineRule="exact"/>
        <w:ind w:left="0" w:right="0" w:firstLine="576"/>
        <w:jc w:val="left"/>
      </w:pPr>
      <w:r>
        <w:rPr>
          <w:u w:val="single"/>
        </w:rPr>
        <w:t xml:space="preserve">(21) "Commercial steam cooker" means a device with one or more food-steaming compartments in which the energy in the steam is transferred to the food by direct contact. Models may include countertop models, wall-mounted models, and floor models mounted on a stand, pedestal, or cabinet-style base.</w:t>
      </w:r>
    </w:p>
    <w:p>
      <w:pPr>
        <w:spacing w:before="0" w:after="0" w:line="408" w:lineRule="exact"/>
        <w:ind w:left="0" w:right="0" w:firstLine="576"/>
        <w:jc w:val="left"/>
      </w:pPr>
      <w:r>
        <w:rPr>
          <w:u w:val="single"/>
        </w:rPr>
        <w:t xml:space="preserve">(22) "Compressor" means a machine or apparatus that converts different types of energy into the potential energy of gas pressure for displacement and compression of gaseous media to any higher-pressure values above atmospheric pressure and has a pressure ratio at full-load operating pressure greater than 1.3.</w:t>
      </w:r>
    </w:p>
    <w:p>
      <w:pPr>
        <w:spacing w:before="0" w:after="0" w:line="408" w:lineRule="exact"/>
        <w:ind w:left="0" w:right="0" w:firstLine="576"/>
        <w:jc w:val="left"/>
      </w:pPr>
      <w:r>
        <w:rPr>
          <w:u w:val="single"/>
        </w:rPr>
        <w:t xml:space="preserve">(23) "Computer" means a device that performs logical operations and processes data. "Computer" includes both stationary and portable units and includes a desktop computer, a portable all-in-one, a notebook computer, a mobile gaming system, a high expandability computer, a small-scale server, a thin client, and a workstation. "Computer" does not include a tablet, game console, television, small computer device, a server other than a small-scale server, or an industrial computer. Although a computer is capable of using input devices and displays, these devices are not required to be included with the computer when the computer is shipped. A computer is composed of, at a minimum:</w:t>
      </w:r>
    </w:p>
    <w:p>
      <w:pPr>
        <w:spacing w:before="0" w:after="0" w:line="408" w:lineRule="exact"/>
        <w:ind w:left="0" w:right="0" w:firstLine="576"/>
        <w:jc w:val="left"/>
      </w:pPr>
      <w:r>
        <w:rPr>
          <w:u w:val="single"/>
        </w:rPr>
        <w:t xml:space="preserve">(a) A central processing unit to perform operations or, if no central processing unit is present, then the device must function as a client gateway to a server and the server acts as the computational central processing unit;</w:t>
      </w:r>
    </w:p>
    <w:p>
      <w:pPr>
        <w:spacing w:before="0" w:after="0" w:line="408" w:lineRule="exact"/>
        <w:ind w:left="0" w:right="0" w:firstLine="576"/>
        <w:jc w:val="left"/>
      </w:pPr>
      <w:r>
        <w:rPr>
          <w:u w:val="single"/>
        </w:rPr>
        <w:t xml:space="preserve">(b) The ability to support user input devices such as a keyboard, mouse, or touchpad; and</w:t>
      </w:r>
    </w:p>
    <w:p>
      <w:pPr>
        <w:spacing w:before="0" w:after="0" w:line="408" w:lineRule="exact"/>
        <w:ind w:left="0" w:right="0" w:firstLine="576"/>
        <w:jc w:val="left"/>
      </w:pPr>
      <w:r>
        <w:rPr>
          <w:u w:val="single"/>
        </w:rPr>
        <w:t xml:space="preserve">(c) An integrated display screen or the ability to support an external display screen to output information.</w:t>
      </w:r>
    </w:p>
    <w:p>
      <w:pPr>
        <w:spacing w:before="0" w:after="0" w:line="408" w:lineRule="exact"/>
        <w:ind w:left="0" w:right="0" w:firstLine="576"/>
        <w:jc w:val="left"/>
      </w:pPr>
      <w:r>
        <w:rPr>
          <w:u w:val="single"/>
        </w:rPr>
        <w:t xml:space="preserve">(24) "Computer monitor" means an analog or digital device of diagonal screen size greater than or equal to seventeen inches and less than or equal to sixty-one inches, that has a pixel density of greater than five thousand pixels per square inch, and that is designed primarily for the display of computer generated signals for viewing by one person in a desk-based environment. A computer monitor is composed of a display screen and associated electronics. A computer monitor does not include:</w:t>
      </w:r>
    </w:p>
    <w:p>
      <w:pPr>
        <w:spacing w:before="0" w:after="0" w:line="408" w:lineRule="exact"/>
        <w:ind w:left="0" w:right="0" w:firstLine="576"/>
        <w:jc w:val="left"/>
      </w:pPr>
      <w:r>
        <w:rPr>
          <w:u w:val="single"/>
        </w:rPr>
        <w:t xml:space="preserve">(a) Displays with integrated or replaceable batteries designed to support primary operation without AC mains or external DC power, such as electronic readers, mobile phones, tablets, or battery-powered digital picture frames; or</w:t>
      </w:r>
    </w:p>
    <w:p>
      <w:pPr>
        <w:spacing w:before="0" w:after="0" w:line="408" w:lineRule="exact"/>
        <w:ind w:left="0" w:right="0" w:firstLine="576"/>
        <w:jc w:val="left"/>
      </w:pPr>
      <w:r>
        <w:rPr>
          <w:u w:val="single"/>
        </w:rPr>
        <w:t xml:space="preserve">(b) A television or a signage display.</w:t>
      </w:r>
    </w:p>
    <w:p>
      <w:pPr>
        <w:spacing w:before="0" w:after="0" w:line="408" w:lineRule="exact"/>
        <w:ind w:left="0" w:right="0" w:firstLine="576"/>
        <w:jc w:val="left"/>
      </w:pPr>
      <w:r>
        <w:rPr>
          <w:u w:val="single"/>
        </w:rPr>
        <w:t xml:space="preserve">(25) "Faucet" means a lavatory faucet, kitchen faucet, metering faucet, or replacement aerator for a lavatory or kitchen faucet.</w:t>
      </w:r>
    </w:p>
    <w:p>
      <w:pPr>
        <w:spacing w:before="0" w:after="0" w:line="408" w:lineRule="exact"/>
        <w:ind w:left="0" w:right="0" w:firstLine="576"/>
        <w:jc w:val="left"/>
      </w:pPr>
      <w:r>
        <w:rPr>
          <w:u w:val="single"/>
        </w:rPr>
        <w:t xml:space="preserve">(26) "General service lamp" has the same meaning as set forth in the action published at 82 Fed. Reg. 7276, 7321-22 (January 19, 2017) and modified by the action published at 82 Fed. Reg. 7322, 7333 (January 19, 2017).</w:t>
      </w:r>
    </w:p>
    <w:p>
      <w:pPr>
        <w:spacing w:before="0" w:after="0" w:line="408" w:lineRule="exact"/>
        <w:ind w:left="0" w:right="0" w:firstLine="576"/>
        <w:jc w:val="left"/>
      </w:pPr>
      <w:r>
        <w:rPr>
          <w:u w:val="single"/>
        </w:rPr>
        <w:t xml:space="preserve">(27) "High color rendering index fluorescent lamp" or "high CRI fluorescent lamp" means a fluorescent lamp with a color rendering index of eighty-seven or greater that is not a compact fluorescent lamp.</w:t>
      </w:r>
    </w:p>
    <w:p>
      <w:pPr>
        <w:spacing w:before="0" w:after="0" w:line="408" w:lineRule="exact"/>
        <w:ind w:left="0" w:right="0" w:firstLine="576"/>
        <w:jc w:val="left"/>
      </w:pPr>
      <w:r>
        <w:rPr>
          <w:u w:val="single"/>
        </w:rPr>
        <w:t xml:space="preserve">(28) "Portable air conditioner" means a portable encased assembly, other than a packaged terminal air conditioner, room air conditioner, or dehumidifier, that delivers cooled, conditioned air to an enclosed space, and is powered by single-phase electric current. It includes a source of refrigeration and may include additional means for air circulation and heating and may be a single-duct or a dual-duct portable air conditioner.</w:t>
      </w:r>
    </w:p>
    <w:p>
      <w:pPr>
        <w:spacing w:before="0" w:after="0" w:line="408" w:lineRule="exact"/>
        <w:ind w:left="0" w:right="0" w:firstLine="576"/>
        <w:jc w:val="left"/>
      </w:pPr>
      <w:r>
        <w:rPr>
          <w:u w:val="single"/>
        </w:rPr>
        <w:t xml:space="preserve">(29) "Residential ventilating fan" means a ceiling, wall-mounted, or remotely mounted in-line fan designed to be used in a bathroom or utility room, or a kitchen range hood, whose purpose is to move objectionable air from inside the building to the outdoors.</w:t>
      </w:r>
    </w:p>
    <w:p>
      <w:pPr>
        <w:spacing w:before="0" w:after="0" w:line="408" w:lineRule="exact"/>
        <w:ind w:left="0" w:right="0" w:firstLine="576"/>
        <w:jc w:val="left"/>
      </w:pPr>
      <w:r>
        <w:rPr>
          <w:u w:val="single"/>
        </w:rPr>
        <w:t xml:space="preserve">(30) "Signage display" means an analog or digital device designed primarily for the display for computer-generated signals that is not marketed for us as a computer monitor or a television.</w:t>
      </w:r>
    </w:p>
    <w:p>
      <w:pPr>
        <w:spacing w:before="0" w:after="0" w:line="408" w:lineRule="exact"/>
        <w:ind w:left="0" w:right="0" w:firstLine="576"/>
        <w:jc w:val="left"/>
      </w:pPr>
      <w:r>
        <w:rPr>
          <w:u w:val="single"/>
        </w:rPr>
        <w:t xml:space="preserve">(31)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rPr>
          <w:u w:val="single"/>
        </w:rPr>
        <w:t xml:space="preserve">(32) "Telephone" means an electronic product whose primary purpose is to transmit and receive sound over a distance using a voice or data network.</w:t>
      </w:r>
    </w:p>
    <w:p>
      <w:pPr>
        <w:spacing w:before="0" w:after="0" w:line="408" w:lineRule="exact"/>
        <w:ind w:left="0" w:right="0" w:firstLine="576"/>
        <w:jc w:val="left"/>
      </w:pPr>
      <w:r>
        <w:rPr>
          <w:u w:val="single"/>
        </w:rPr>
        <w:t xml:space="preserve">(33) "Television" or "TV" means an analog or digital device designed primarily for the display and reception of a terrestrial, satellite, cable, internet protocol TV, or other broadcast or recorded transmission of analog or digital video and audio signals. "Television" includes combination TVs, television monitors, component TVs, and any unit that is marketed to a consumer as a TV. "Television" does not include computer monitors.</w:t>
      </w:r>
    </w:p>
    <w:p>
      <w:pPr>
        <w:spacing w:before="0" w:after="0" w:line="408" w:lineRule="exact"/>
        <w:ind w:left="0" w:right="0" w:firstLine="576"/>
        <w:jc w:val="left"/>
      </w:pPr>
      <w:r>
        <w:rPr>
          <w:u w:val="single"/>
        </w:rPr>
        <w:t xml:space="preserve">(34) "Uninterruptible power supply" means a battery charger consisting of a number of convertors, switches, and energy storage devices such as batteries, constituting a power system for maintaining continuity of load power in case of input power failure.</w:t>
      </w:r>
    </w:p>
    <w:p>
      <w:pPr>
        <w:spacing w:before="0" w:after="0" w:line="408" w:lineRule="exact"/>
        <w:ind w:left="0" w:right="0" w:firstLine="576"/>
        <w:jc w:val="left"/>
      </w:pPr>
      <w:r>
        <w:rPr>
          <w:u w:val="single"/>
        </w:rPr>
        <w:t xml:space="preserve">(35) "Urinal" means a plumbing fixture that receives only liquid body waste and, on demand, conveys the waste through a trap seal into a gravity drainage system.</w:t>
      </w:r>
    </w:p>
    <w:p>
      <w:pPr>
        <w:spacing w:before="0" w:after="0" w:line="408" w:lineRule="exact"/>
        <w:ind w:left="0" w:right="0" w:firstLine="576"/>
        <w:jc w:val="left"/>
      </w:pPr>
      <w:r>
        <w:rPr>
          <w:u w:val="single"/>
        </w:rPr>
        <w:t xml:space="preserve">(36) "Water closet" means a plumbing fixture having a water-containing receptor that receives liquid and solid body waste through an exposed integral trap into a gravity drainage system.</w:t>
      </w:r>
    </w:p>
    <w:p>
      <w:pPr>
        <w:spacing w:before="0" w:after="0" w:line="408" w:lineRule="exact"/>
        <w:ind w:left="0" w:right="0" w:firstLine="576"/>
        <w:jc w:val="left"/>
      </w:pPr>
      <w:r>
        <w:rPr>
          <w:u w:val="single"/>
        </w:rPr>
        <w:t xml:space="preserve">(37) "Water cooler" means a freestanding device that consumes energy to cool or heat potable water, including cold only units, hot and cold units, cook and cold units, storage-type units, and on-demand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w:t>
      </w:r>
      <w:r>
        <w:t>((</w:t>
      </w:r>
      <w:r>
        <w:rPr>
          <w:strike/>
        </w:rPr>
        <w:t xml:space="preserve">Automatic commercial ice cube machines;</w:t>
      </w:r>
    </w:p>
    <w:p>
      <w:pPr>
        <w:spacing w:before="0" w:after="0" w:line="408" w:lineRule="exact"/>
        <w:ind w:left="0" w:right="0" w:firstLine="576"/>
        <w:jc w:val="left"/>
      </w:pPr>
      <w:r>
        <w:rPr>
          <w:strike/>
        </w:rPr>
        <w:t xml:space="preserve">(b) Commercial refrigerators and freezers; </w:t>
      </w:r>
    </w:p>
    <w:p>
      <w:pPr>
        <w:spacing w:before="0" w:after="0" w:line="408" w:lineRule="exact"/>
        <w:ind w:left="0" w:right="0" w:firstLine="576"/>
        <w:jc w:val="left"/>
      </w:pPr>
      <w:r>
        <w:rPr>
          <w:strike/>
        </w:rPr>
        <w:t xml:space="preserve">(c) State-regulated incandescent reflector lamps; </w:t>
      </w:r>
    </w:p>
    <w:p>
      <w:pPr>
        <w:spacing w:before="0" w:after="0" w:line="408" w:lineRule="exact"/>
        <w:ind w:left="0" w:right="0" w:firstLine="576"/>
        <w:jc w:val="left"/>
      </w:pPr>
      <w:r>
        <w:rPr>
          <w:strike/>
        </w:rPr>
        <w:t xml:space="preserve">(d)</w:t>
      </w:r>
      <w:r>
        <w:t>))</w:t>
      </w:r>
      <w:r>
        <w:rPr/>
        <w:t xml:space="preserve"> Wine chillers designed and sold for use by an individual;</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Hot water dispensers and mini-tank electric water heaters;</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(g) Pool heaters,</w:t>
      </w:r>
      <w:r>
        <w:t>))</w:t>
      </w:r>
      <w:r>
        <w:rPr/>
        <w:t xml:space="preserve"> </w:t>
      </w:r>
      <w:r>
        <w:rPr>
          <w:u w:val="single"/>
        </w:rPr>
        <w:t xml:space="preserve">(d)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Tub spout diverters;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(f)</w:t>
      </w:r>
      <w:r>
        <w:rPr/>
        <w:t xml:space="preserve"> Commercial hot food holding cabinets</w:t>
      </w:r>
      <w:r>
        <w:rPr>
          <w:u w:val="single"/>
        </w:rPr>
        <w:t xml:space="preserve">;</w:t>
      </w:r>
    </w:p>
    <w:p>
      <w:pPr>
        <w:spacing w:before="0" w:after="0" w:line="408" w:lineRule="exact"/>
        <w:ind w:left="0" w:right="0" w:firstLine="576"/>
        <w:jc w:val="left"/>
      </w:pPr>
      <w:r>
        <w:rPr>
          <w:u w:val="single"/>
        </w:rPr>
        <w:t xml:space="preserve">(g) Air purifiers;</w:t>
      </w:r>
    </w:p>
    <w:p>
      <w:pPr>
        <w:spacing w:before="0" w:after="0" w:line="408" w:lineRule="exact"/>
        <w:ind w:left="0" w:right="0" w:firstLine="576"/>
        <w:jc w:val="left"/>
      </w:pPr>
      <w:r>
        <w:rPr>
          <w:u w:val="single"/>
        </w:rPr>
        <w:t xml:space="preserve">(h) Commercial fryers, commercial dishwashers, and commercial steam cookers;</w:t>
      </w:r>
    </w:p>
    <w:p>
      <w:pPr>
        <w:spacing w:before="0" w:after="0" w:line="408" w:lineRule="exact"/>
        <w:ind w:left="0" w:right="0" w:firstLine="576"/>
        <w:jc w:val="left"/>
      </w:pPr>
      <w:r>
        <w:rPr>
          <w:u w:val="single"/>
        </w:rPr>
        <w:t xml:space="preserve">(i) Compressors;</w:t>
      </w:r>
    </w:p>
    <w:p>
      <w:pPr>
        <w:spacing w:before="0" w:after="0" w:line="408" w:lineRule="exact"/>
        <w:ind w:left="0" w:right="0" w:firstLine="576"/>
        <w:jc w:val="left"/>
      </w:pPr>
      <w:r>
        <w:rPr>
          <w:u w:val="single"/>
        </w:rPr>
        <w:t xml:space="preserve">(j) Computers and computer monitors;</w:t>
      </w:r>
    </w:p>
    <w:p>
      <w:pPr>
        <w:spacing w:before="0" w:after="0" w:line="408" w:lineRule="exact"/>
        <w:ind w:left="0" w:right="0" w:firstLine="576"/>
        <w:jc w:val="left"/>
      </w:pPr>
      <w:r>
        <w:rPr>
          <w:u w:val="single"/>
        </w:rPr>
        <w:t xml:space="preserve">(k) Faucets;</w:t>
      </w:r>
    </w:p>
    <w:p>
      <w:pPr>
        <w:spacing w:before="0" w:after="0" w:line="408" w:lineRule="exact"/>
        <w:ind w:left="0" w:right="0" w:firstLine="576"/>
        <w:jc w:val="left"/>
      </w:pPr>
      <w:r>
        <w:rPr>
          <w:u w:val="single"/>
        </w:rPr>
        <w:t xml:space="preserve">(l) High CRI fluorescent lamps;</w:t>
      </w:r>
    </w:p>
    <w:p>
      <w:pPr>
        <w:spacing w:before="0" w:after="0" w:line="408" w:lineRule="exact"/>
        <w:ind w:left="0" w:right="0" w:firstLine="576"/>
        <w:jc w:val="left"/>
      </w:pPr>
      <w:r>
        <w:rPr>
          <w:u w:val="single"/>
        </w:rPr>
        <w:t xml:space="preserve">(m) Portable air conditioners and residential ventilating fans;</w:t>
      </w:r>
    </w:p>
    <w:p>
      <w:pPr>
        <w:spacing w:before="0" w:after="0" w:line="408" w:lineRule="exact"/>
        <w:ind w:left="0" w:right="0" w:firstLine="576"/>
        <w:jc w:val="left"/>
      </w:pPr>
      <w:r>
        <w:rPr>
          <w:u w:val="single"/>
        </w:rPr>
        <w:t xml:space="preserve">(n) Showerheads;</w:t>
      </w:r>
    </w:p>
    <w:p>
      <w:pPr>
        <w:spacing w:before="0" w:after="0" w:line="408" w:lineRule="exact"/>
        <w:ind w:left="0" w:right="0" w:firstLine="576"/>
        <w:jc w:val="left"/>
      </w:pPr>
      <w:r>
        <w:rPr>
          <w:u w:val="single"/>
        </w:rPr>
        <w:t xml:space="preserve">(o) Signage displays;</w:t>
      </w:r>
    </w:p>
    <w:p>
      <w:pPr>
        <w:spacing w:before="0" w:after="0" w:line="408" w:lineRule="exact"/>
        <w:ind w:left="0" w:right="0" w:firstLine="576"/>
        <w:jc w:val="left"/>
      </w:pPr>
      <w:r>
        <w:rPr>
          <w:u w:val="single"/>
        </w:rPr>
        <w:t xml:space="preserve">(p) Spray sprinkler bodies;</w:t>
      </w:r>
    </w:p>
    <w:p>
      <w:pPr>
        <w:spacing w:before="0" w:after="0" w:line="408" w:lineRule="exact"/>
        <w:ind w:left="0" w:right="0" w:firstLine="576"/>
        <w:jc w:val="left"/>
      </w:pPr>
      <w:r>
        <w:rPr>
          <w:u w:val="single"/>
        </w:rPr>
        <w:t xml:space="preserve">(q) Telephones;</w:t>
      </w:r>
    </w:p>
    <w:p>
      <w:pPr>
        <w:spacing w:before="0" w:after="0" w:line="408" w:lineRule="exact"/>
        <w:ind w:left="0" w:right="0" w:firstLine="576"/>
        <w:jc w:val="left"/>
      </w:pPr>
      <w:r>
        <w:rPr>
          <w:u w:val="single"/>
        </w:rPr>
        <w:t xml:space="preserve">(r) Televisions;</w:t>
      </w:r>
    </w:p>
    <w:p>
      <w:pPr>
        <w:spacing w:before="0" w:after="0" w:line="408" w:lineRule="exact"/>
        <w:ind w:left="0" w:right="0" w:firstLine="576"/>
        <w:jc w:val="left"/>
      </w:pPr>
      <w:r>
        <w:rPr>
          <w:u w:val="single"/>
        </w:rPr>
        <w:t xml:space="preserve">(s) Uninterruptible power supplies;</w:t>
      </w:r>
    </w:p>
    <w:p>
      <w:pPr>
        <w:spacing w:before="0" w:after="0" w:line="408" w:lineRule="exact"/>
        <w:ind w:left="0" w:right="0" w:firstLine="576"/>
        <w:jc w:val="left"/>
      </w:pPr>
      <w:r>
        <w:rPr>
          <w:u w:val="single"/>
        </w:rPr>
        <w:t xml:space="preserve">(t) Urinals and water closets;</w:t>
      </w:r>
    </w:p>
    <w:p>
      <w:pPr>
        <w:spacing w:before="0" w:after="0" w:line="408" w:lineRule="exact"/>
        <w:ind w:left="0" w:right="0" w:firstLine="576"/>
        <w:jc w:val="left"/>
      </w:pPr>
      <w:r>
        <w:rPr>
          <w:u w:val="single"/>
        </w:rPr>
        <w:t xml:space="preserve">(u) Water coolers;</w:t>
      </w:r>
    </w:p>
    <w:p>
      <w:pPr>
        <w:spacing w:before="0" w:after="0" w:line="408" w:lineRule="exact"/>
        <w:ind w:left="0" w:right="0" w:firstLine="576"/>
        <w:jc w:val="left"/>
      </w:pPr>
      <w:r>
        <w:rPr>
          <w:u w:val="single"/>
        </w:rPr>
        <w:t xml:space="preserve">(v) Audio or video products; and</w:t>
      </w:r>
    </w:p>
    <w:p>
      <w:pPr>
        <w:spacing w:before="0" w:after="0" w:line="408" w:lineRule="exact"/>
        <w:ind w:left="0" w:right="0" w:firstLine="576"/>
        <w:jc w:val="left"/>
      </w:pPr>
      <w:r>
        <w:rPr>
          <w:u w:val="single"/>
        </w:rPr>
        <w:t xml:space="preserve">(w) General service lamps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t xml:space="preserve">The minimum efficiency standards specified in this section apply to the types of new products set forth in RCW 19.260.030.</w:t>
      </w:r>
    </w:p>
    <w:p>
      <w:pPr>
        <w:spacing w:before="0" w:after="0" w:line="408" w:lineRule="exact"/>
        <w:ind w:left="0" w:right="0" w:firstLine="576"/>
        <w:jc w:val="left"/>
      </w:pPr>
      <w:r>
        <w:rPr/>
        <w:t xml:space="preserve">(1)</w:t>
      </w:r>
      <w:r>
        <w:t>((</w:t>
      </w:r>
      <w:r>
        <w:rPr>
          <w:strike/>
        </w:rPr>
        <w:t xml:space="preserve">(a)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Equipment type</w:t>
            </w:r>
          </w:p>
        </w:tc>
        <w:tc>
          <w:tcPr>
            <w:tcW w:w="148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Type of cooling</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Harvest rate</w:t>
            </w:r>
          </w:p>
          <w:p>
            <w:pPr>
              <w:spacing w:before="0" w:after="0" w:line="408" w:lineRule="exact"/>
              <w:ind w:left="0" w:right="0" w:firstLine="0"/>
              <w:jc w:val="left"/>
            </w:pPr>
            <w:r>
              <w:rPr>
                <w:rFonts w:ascii="Times New Roman" w:hAnsi="Times New Roman"/>
                <w:strike/>
                <w:sz w:val="20"/>
              </w:rPr>
              <w:t xml:space="preserve">(lbs. ice/24 hrs.)</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Maximum</w:t>
            </w:r>
          </w:p>
          <w:p>
            <w:pPr>
              <w:spacing w:before="0" w:after="0" w:line="408" w:lineRule="exact"/>
              <w:ind w:left="0" w:right="0" w:firstLine="0"/>
              <w:jc w:val="left"/>
            </w:pPr>
            <w:r>
              <w:rPr>
                <w:rFonts w:ascii="Times New Roman" w:hAnsi="Times New Roman"/>
                <w:strike/>
                <w:sz w:val="20"/>
              </w:rPr>
              <w:t xml:space="preserve">energy use</w:t>
            </w:r>
          </w:p>
          <w:p>
            <w:pPr>
              <w:spacing w:before="0" w:after="0" w:line="408" w:lineRule="exact"/>
              <w:ind w:left="0" w:right="0" w:firstLine="0"/>
              <w:jc w:val="left"/>
            </w:pPr>
            <w:r>
              <w:rPr>
                <w:rFonts w:ascii="Times New Roman" w:hAnsi="Times New Roman"/>
                <w:strike/>
                <w:sz w:val="20"/>
              </w:rPr>
              <w:t xml:space="preserve">(kWh/100 lbs.)</w:t>
            </w:r>
          </w:p>
        </w:tc>
        <w:tc>
          <w:tcPr>
            <w:tcW w:w="256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Maximum condenser</w:t>
            </w:r>
          </w:p>
          <w:p>
            <w:pPr>
              <w:spacing w:before="0" w:after="0" w:line="408" w:lineRule="exact"/>
              <w:ind w:left="0" w:right="0" w:firstLine="0"/>
              <w:jc w:val="left"/>
            </w:pPr>
            <w:r>
              <w:rPr>
                <w:rFonts w:ascii="Times New Roman" w:hAnsi="Times New Roman"/>
                <w:strike/>
                <w:sz w:val="20"/>
              </w:rPr>
              <w:t xml:space="preserve">water use</w:t>
            </w:r>
          </w:p>
          <w:p>
            <w:pPr>
              <w:spacing w:before="0" w:after="0" w:line="408" w:lineRule="exact"/>
              <w:ind w:left="0" w:right="0" w:firstLine="0"/>
              <w:jc w:val="left"/>
            </w:pPr>
            <w:r>
              <w:rPr>
                <w:rFonts w:ascii="Times New Roman" w:hAnsi="Times New Roman"/>
                <w:strike/>
                <w:sz w:val="20"/>
              </w:rPr>
              <w:t xml:space="preserve">(gallons/100 lbs. ice)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&amp;lt;500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7.80 - .0055H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˃=500&amp;lt;1436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5.58 -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4.0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200 - .022H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450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10.26 - .0086H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˃=450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6.89 -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Remote condensing but not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&amp;lt;1000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8.85 - .0038</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˃=1000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5.10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Remote condensing and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&amp;lt;934</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8.85 - .0038H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˃=934</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5.3</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&amp;lt;200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11.40 - .0190H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191 - .0315H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˃=200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7.60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191 - .0315H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&amp;lt;175</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18.0 - .0469H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˃=175</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9.80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gridSpan w:val="5"/>
            <w:tcW w:w="10160" w:type="dxa"/>
            <w:vAlign w:val="top"/>
          </w:tcPr>
          <w:p>
            <w:pPr>
              <w:spacing w:before="0" w:after="0" w:line="408" w:lineRule="exact"/>
              <w:ind w:left="0" w:right="0" w:firstLine="0"/>
              <w:jc w:val="left"/>
            </w:pPr>
            <w:r>
              <w:rPr>
                <w:rFonts w:ascii="Times New Roman" w:hAnsi="Times New Roman"/>
                <w:strike/>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strike/>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strike/>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Equipment Type</w:t>
            </w:r>
          </w:p>
        </w:tc>
        <w:tc>
          <w:tcPr>
            <w:tcW w:w="138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Doors</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Maximum Daily Energy Consumption (kWh)</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0.10V+ 2.04</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0.12V+ 3.34</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Transparent</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.126V+ 3.51</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0.40V+ 1.38</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0.75V+ 4.10</w:t>
            </w:r>
          </w:p>
        </w:tc>
      </w:tr>
      <w:tr>
        <w:tc>
          <w:tcPr>
            <w:tcW w:w="4440" w:type="dxa"/>
            <w:vAlign w:val="top"/>
            <w:tcBorders>
              <w:bottom w:val="single"/>
            </w:tcBorders>
          </w:tcPr>
          <w:p>
            <w:pPr>
              <w:spacing w:before="0" w:after="120" w:line="408" w:lineRule="exact"/>
              <w:ind w:left="0" w:right="0" w:firstLine="0"/>
              <w:jc w:val="left"/>
            </w:pPr>
            <w:r>
              <w:rPr>
                <w:rFonts w:ascii="Times New Roman" w:hAnsi="Times New Roman"/>
                <w:strike/>
                <w:sz w:val="20"/>
              </w:rPr>
              <w:t xml:space="preserve">Reach-in cabinets that are refrigerator-freezers</w:t>
            </w:r>
          </w:p>
          <w:p>
            <w:pPr>
              <w:spacing w:before="0" w:after="120" w:line="408" w:lineRule="exact"/>
              <w:ind w:left="0" w:right="0" w:firstLine="0"/>
              <w:jc w:val="left"/>
            </w:pPr>
            <w:r>
              <w:rPr>
                <w:rFonts w:ascii="Times New Roman" w:hAnsi="Times New Roman"/>
                <w:strike/>
                <w:sz w:val="20"/>
              </w:rPr>
              <w:t xml:space="preserve">with an AV of 5.19 or higher</w:t>
            </w:r>
          </w:p>
        </w:tc>
        <w:tc>
          <w:tcPr>
            <w:tcW w:w="1380" w:type="dxa"/>
            <w:vAlign w:val="top"/>
            <w:tcBorders>
              <w:bottom w:val="single"/>
            </w:tcBorders>
            <w:tcBorders>
              <w:left w:val="single"/>
            </w:tcBorders>
            <w:tcBorders>
              <w:right w:val="single"/>
            </w:tcBorders>
          </w:tcPr>
          <w:p>
            <w:pPr>
              <w:spacing w:before="0" w:after="12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Pr>
          <w:p>
            <w:pPr>
              <w:spacing w:before="0" w:after="120" w:line="408" w:lineRule="exact"/>
              <w:ind w:left="0" w:right="0" w:firstLine="0"/>
              <w:jc w:val="center"/>
            </w:pPr>
            <w:r>
              <w:rPr>
                <w:rFonts w:ascii="Times New Roman" w:hAnsi="Times New Roman"/>
                <w:strike/>
                <w:sz w:val="20"/>
              </w:rPr>
              <w:t xml:space="preserve">0.27AV - 0.71</w:t>
            </w:r>
          </w:p>
        </w:tc>
      </w:tr>
      <w:tr>
        <w:tc>
          <w:tcPr>
            <w:gridSpan w:val="3"/>
            <w:tcW w:w="10160" w:type="dxa"/>
            <w:vAlign w:val="top"/>
          </w:tcPr>
          <w:p>
            <w:pPr>
              <w:spacing w:before="0" w:after="0" w:line="408" w:lineRule="exact"/>
              <w:ind w:left="0" w:right="0" w:firstLine="0"/>
              <w:jc w:val="left"/>
            </w:pPr>
            <w:r>
              <w:rPr>
                <w:rFonts w:ascii="Times New Roman" w:hAnsi="Times New Roman"/>
                <w:strike/>
                <w:sz w:val="20"/>
              </w:rPr>
              <w:t xml:space="preserve">kWh= kilowatt-hours</w:t>
            </w:r>
          </w:p>
          <w:p>
            <w:pPr>
              <w:spacing w:before="0" w:after="0" w:line="408" w:lineRule="exact"/>
              <w:ind w:left="0" w:right="0" w:firstLine="0"/>
              <w:jc w:val="left"/>
            </w:pPr>
            <w:r>
              <w:rPr>
                <w:rFonts w:ascii="Times New Roman" w:hAnsi="Times New Roman"/>
                <w:strike/>
                <w:sz w:val="20"/>
              </w:rPr>
              <w:t xml:space="preserve">V= total volume (ft</w:t>
            </w:r>
            <w:r>
              <w:rPr>
                <w:rFonts w:ascii="Times New Roman" w:hAnsi="Times New Roman"/>
                <w:strike/>
                <w:sz w:val="20"/>
                <w:vertAlign w:val="superscript"/>
              </w:rPr>
              <w:t xml:space="preserve">3</w:t>
            </w:r>
            <w:r>
              <w:rPr>
                <w:rFonts w:ascii="Times New Roman" w:hAnsi="Times New Roman"/>
                <w:strike/>
                <w:sz w:val="20"/>
              </w:rPr>
              <w:t xml:space="preserve">)</w:t>
            </w:r>
          </w:p>
          <w:p>
            <w:pPr>
              <w:spacing w:before="0" w:after="0" w:line="408" w:lineRule="exact"/>
              <w:ind w:left="0" w:right="0" w:firstLine="0"/>
              <w:jc w:val="left"/>
            </w:pPr>
            <w:r>
              <w:rPr>
                <w:rFonts w:ascii="Times New Roman" w:hAnsi="Times New Roman"/>
                <w:strike/>
                <w:sz w:val="20"/>
              </w:rPr>
              <w:t xml:space="preserve">AV= adjusted volume= [1.63 x freezer volume (ft</w:t>
            </w:r>
            <w:r>
              <w:rPr>
                <w:rFonts w:ascii="Times New Roman" w:hAnsi="Times New Roman"/>
                <w:strike/>
                <w:sz w:val="20"/>
                <w:vertAlign w:val="superscript"/>
              </w:rPr>
              <w:t xml:space="preserve">3</w:t>
            </w:r>
            <w:r>
              <w:rPr>
                <w:rFonts w:ascii="Times New Roman" w:hAnsi="Times New Roman"/>
                <w:strike/>
                <w:sz w:val="20"/>
              </w:rPr>
              <w:t xml:space="preserve">)]+ refrigerator volume (ft</w:t>
            </w:r>
            <w:r>
              <w:rPr>
                <w:rFonts w:ascii="Times New Roman" w:hAnsi="Times New Roman"/>
                <w:strike/>
                <w:sz w:val="20"/>
                <w:vertAlign w:val="superscript"/>
              </w:rPr>
              <w:t xml:space="preserve">3</w:t>
            </w:r>
            <w:r>
              <w:rPr>
                <w:rFonts w:ascii="Times New Roman" w:hAnsi="Times New Roman"/>
                <w:strike/>
                <w:sz w:val="20"/>
              </w:rPr>
              <w:t xml:space="preserve">)</w:t>
            </w:r>
          </w:p>
        </w:tc>
      </w:tr>
    </w:tbl>
    <w:p>
      <w:pPr>
        <w:spacing w:before="120" w:after="0" w:line="408" w:lineRule="exact"/>
        <w:ind w:left="0" w:right="0" w:firstLine="576"/>
        <w:jc w:val="left"/>
      </w:pPr>
      <w:r>
        <w:rPr>
          <w:strike/>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Product or compartment type</w:t>
            </w:r>
          </w:p>
        </w:tc>
        <w:tc>
          <w:tcPr>
            <w:tcW w:w="61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Integrated average product temperature in degrees Fahrenheit</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trike/>
                <w:sz w:val="20"/>
              </w:rPr>
              <w:t xml:space="preserve">Refrigerator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38</w:t>
            </w:r>
            <w:r>
              <w:rPr>
                <w:rFonts w:ascii="Times New Roman" w:hAnsi="Times New Roman"/>
                <w:strike/>
                <w:sz w:val="20"/>
                <w:u w:val="single"/>
              </w:rPr>
              <w:t xml:space="preserve">+</w:t>
            </w:r>
            <w:r>
              <w:rPr>
                <w:rFonts w:ascii="Times New Roman" w:hAnsi="Times New Roman"/>
                <w:strike/>
                <w:sz w:val="20"/>
              </w:rPr>
              <w:t xml:space="preserve"> 2</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trike/>
                <w:sz w:val="20"/>
              </w:rPr>
              <w:t xml:space="preserve">Freezer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w:t>
            </w:r>
            <w:r>
              <w:rPr>
                <w:rFonts w:ascii="Times New Roman" w:hAnsi="Times New Roman"/>
                <w:strike/>
                <w:sz w:val="20"/>
                <w:u w:val="single"/>
              </w:rPr>
              <w:t xml:space="preserve">+</w:t>
            </w:r>
            <w:r>
              <w:rPr>
                <w:rFonts w:ascii="Times New Roman" w:hAnsi="Times New Roman"/>
                <w:strike/>
                <w:sz w:val="20"/>
              </w:rPr>
              <w:t xml:space="preserve"> 2</w:t>
            </w:r>
          </w:p>
        </w:tc>
      </w:tr>
    </w:tbl>
    <w:p>
      <w:pPr>
        <w:spacing w:before="120" w:after="0" w:line="408" w:lineRule="exact"/>
        <w:ind w:left="0" w:right="0" w:firstLine="576"/>
        <w:jc w:val="left"/>
      </w:pPr>
      <w:r>
        <w:rPr>
          <w:strike/>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strike/>
        </w:rPr>
        <w:t xml:space="preserve">(b) The following types of incandescent lamps are exempt from these requirements:</w:t>
      </w:r>
    </w:p>
    <w:p>
      <w:pPr>
        <w:spacing w:before="0" w:after="0" w:line="408" w:lineRule="exact"/>
        <w:ind w:left="0" w:right="0" w:firstLine="576"/>
        <w:jc w:val="left"/>
      </w:pPr>
      <w:r>
        <w:rPr>
          <w:strike/>
        </w:rPr>
        <w:t xml:space="preserve">(i) Lamps rated at fifty watts or less of the following types: BR 30, ER 30, BR 40, and ER 40;</w:t>
      </w:r>
    </w:p>
    <w:p>
      <w:pPr>
        <w:spacing w:before="0" w:after="0" w:line="408" w:lineRule="exact"/>
        <w:ind w:left="0" w:right="0" w:firstLine="576"/>
        <w:jc w:val="left"/>
      </w:pPr>
      <w:r>
        <w:rPr>
          <w:strike/>
        </w:rPr>
        <w:t xml:space="preserve">(ii) Lamps rated at sixty-five watts of the following types: BR 30, BR 40, and ER 40; and</w:t>
      </w:r>
    </w:p>
    <w:p>
      <w:pPr>
        <w:spacing w:before="0" w:after="0" w:line="408" w:lineRule="exact"/>
        <w:ind w:left="0" w:right="0" w:firstLine="576"/>
        <w:jc w:val="left"/>
      </w:pPr>
      <w:r>
        <w:rPr>
          <w:strike/>
        </w:rPr>
        <w:t xml:space="preserve">(iii) R 20 lamps of forty-five watts or less.</w:t>
      </w:r>
    </w:p>
    <w:p>
      <w:pPr>
        <w:spacing w:before="0" w:after="0" w:line="408" w:lineRule="exact"/>
        <w:ind w:left="0" w:right="0" w:firstLine="576"/>
        <w:jc w:val="left"/>
      </w:pPr>
      <w:r>
        <w:rPr>
          <w:strike/>
        </w:rPr>
        <w:t xml:space="preserve">(4)</w:t>
      </w:r>
      <w:r>
        <w:t>))</w:t>
      </w:r>
      <w:r>
        <w:rPr/>
        <w:t xml:space="preserve">(a)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following standards are established for </w:t>
      </w:r>
      <w:r>
        <w:t>((</w:t>
      </w:r>
      <w:r>
        <w:rPr>
          <w:strike/>
        </w:rPr>
        <w:t xml:space="preserve">pool heaters,</w:t>
      </w:r>
      <w:r>
        <w:t>))</w:t>
      </w:r>
      <w:r>
        <w:rPr/>
        <w:t xml:space="preserve"> residential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(a) </w:t>
      </w:r>
      <w:r>
        <w:t>((</w:t>
      </w:r>
      <w:r>
        <w:rPr>
          <w:strike/>
        </w:rPr>
        <w:t xml:space="preserve">Natural gas pool heaters shall not be equipped with constant burning pilots.</w:t>
      </w:r>
    </w:p>
    <w:p>
      <w:pPr>
        <w:spacing w:before="0" w:after="0" w:line="408" w:lineRule="exact"/>
        <w:ind w:left="0" w:right="0" w:firstLine="576"/>
        <w:jc w:val="left"/>
      </w:pPr>
      <w:r>
        <w:rPr>
          <w:strike/>
        </w:rPr>
        <w:t xml:space="preserve">(b)</w:t>
      </w:r>
      <w:r>
        <w:t>))</w:t>
      </w:r>
      <w:r>
        <w:rPr/>
        <w:t xml:space="preserve"> Residential pool pump motors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t>((</w:t>
      </w:r>
      <w:r>
        <w:rPr>
          <w:strike/>
        </w:rPr>
        <w:t xml:space="preserve">(c)</w:t>
      </w:r>
      <w:r>
        <w:t>))</w:t>
      </w:r>
      <w:r>
        <w:rPr/>
        <w:t xml:space="preserve"> </w:t>
      </w:r>
      <w:r>
        <w:rPr>
          <w:u w:val="single"/>
        </w:rPr>
        <w:t xml:space="preserve">(b) Through December 31, 2019, p</w:t>
      </w:r>
      <w:r>
        <w:rPr/>
        <w:t xml:space="preserve">ortable electric spas manufactured on or after January 1, 2010, must meet requirements specified in the California Code of Regulations, Title 20, section 1605.3 in effect as of July 26, 2009. </w:t>
      </w:r>
      <w:r>
        <w:rPr>
          <w:u w:val="single"/>
        </w:rPr>
        <w:t xml:space="preserve">Beginning January 1, 2020, portable electric spas must meet the requirements of the American national standard for portable electric spa energy efficiency (ANSI/APSP/ICC-14 2014).</w:t>
      </w:r>
    </w:p>
    <w:p>
      <w:pPr>
        <w:spacing w:before="0" w:after="0" w:line="408" w:lineRule="exact"/>
        <w:ind w:left="0" w:right="0" w:firstLine="576"/>
        <w:jc w:val="left"/>
      </w:pPr>
      <w:r>
        <w:t>((</w:t>
      </w:r>
      <w:r>
        <w:rPr>
          <w:strike/>
        </w:rPr>
        <w:t xml:space="preserve">(d)</w:t>
      </w:r>
      <w:r>
        <w:t>))</w:t>
      </w:r>
      <w:r>
        <w:rPr/>
        <w:t xml:space="preserve"> </w:t>
      </w:r>
      <w:r>
        <w:rPr>
          <w:u w:val="single"/>
        </w:rPr>
        <w:t xml:space="preserve">(c) Through December 31, 2019, p</w:t>
      </w:r>
      <w:r>
        <w:rPr/>
        <w:t xml:space="preserve">ortable electric spas must be tested in accordance with the method specified in the California Code of Regulations, Title 20, section 1604 in effect as of July 26, 2009. </w:t>
      </w:r>
      <w:r>
        <w:rPr>
          <w:u w:val="single"/>
        </w:rPr>
        <w:t xml:space="preserve">Beginning January 1, 2020, portable electric spas must be tested in accordance with the method specified in the American national standard for portable electric spa energy efficiency (ANSI/APSP/ICC-14 2014).</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p>
        </w:tc>
        <w:tc>
          <w:tcPr>
            <w:tcW w:w="3400" w:type="dxa"/>
            <w:vAlign w:val="top"/>
          </w:tcPr>
          <w:p>
            <w:pPr>
              <w:spacing w:before="0" w:after="0" w:line="408" w:lineRule="exact"/>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Appliance</w:t>
            </w:r>
          </w:p>
        </w:tc>
        <w:tc>
          <w:tcPr>
            <w:tcW w:w="3360" w:type="dxa"/>
            <w:vAlign w:val="top"/>
            <w:tcBorders>
              <w:bottom w:val="single"/>
            </w:tcBorders>
          </w:tcPr>
          <w:p>
            <w:pPr>
              <w:spacing w:before="0" w:after="0" w:line="408" w:lineRule="exact"/>
              <w:ind w:left="0" w:right="0" w:firstLine="0"/>
              <w:jc w:val="left"/>
            </w:pPr>
            <w:r>
              <w:rPr>
                <w:rFonts w:ascii="Times New Roman" w:hAnsi="Times New Roman"/>
                <w:sz w:val="20"/>
              </w:rPr>
              <w:t xml:space="preserve">Testing Conditions</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When new</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0.01 gpm</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After 15,000 cycles of diverting</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0.05 gpm</w:t>
            </w:r>
          </w:p>
        </w:tc>
      </w:tr>
    </w:tbl>
    <w:p>
      <w:pPr>
        <w:spacing w:before="120" w:after="0" w:line="408" w:lineRule="exact"/>
        <w:ind w:left="0" w:right="0" w:firstLine="576"/>
        <w:jc w:val="left"/>
      </w:pPr>
      <w:r>
        <w:rPr/>
        <w:t xml:space="preserve">(b) Showerhead tub spout diverter combinations shall meet both the </w:t>
      </w:r>
      <w:r>
        <w:t>((</w:t>
      </w:r>
      <w:r>
        <w:rPr>
          <w:strike/>
        </w:rPr>
        <w:t xml:space="preserve">federal standard for showerheads established pursuant to 42 U.S.C. Sec. 6291 et seq.</w:t>
      </w:r>
      <w:r>
        <w:t>))</w:t>
      </w:r>
      <w:r>
        <w:rPr/>
        <w:t xml:space="preserve"> </w:t>
      </w:r>
      <w:r>
        <w:rPr>
          <w:u w:val="single"/>
        </w:rPr>
        <w:t xml:space="preserve">standard for showerheads specified in this section</w:t>
      </w:r>
      <w:r>
        <w:rPr/>
        <w:t xml:space="preserve"> and the standard for tub spout diverters specified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w:t>
      </w:r>
      <w:r>
        <w:t>((</w:t>
      </w:r>
      <w:r>
        <w:rPr>
          <w:strike/>
        </w:rPr>
        <w:t xml:space="preserve">F2140-01</w:t>
      </w:r>
      <w:r>
        <w:t>))</w:t>
      </w:r>
      <w:r>
        <w:rPr/>
        <w:t xml:space="preserve"> </w:t>
      </w:r>
      <w:r>
        <w:rPr>
          <w:u w:val="single"/>
        </w:rPr>
        <w:t xml:space="preserve">F2140-11</w:t>
      </w:r>
      <w:r>
        <w:rPr/>
        <w:t xml:space="preserve">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(7) Air purifiers, except industrial air purifiers, must meet the following requirements as measured in accordance with the environmental protection agency energy star program product specification for room air cleaners, version 1.2:</w:t>
      </w:r>
    </w:p>
    <w:p>
      <w:pPr>
        <w:spacing w:before="0" w:after="0" w:line="408" w:lineRule="exact"/>
        <w:ind w:left="0" w:right="0" w:firstLine="576"/>
        <w:jc w:val="left"/>
      </w:pPr>
      <w:r>
        <w:rPr>
          <w:u w:val="single"/>
        </w:rPr>
        <w:t xml:space="preserve">(a) Clean air delivery rate for dust must be 50 or greater;</w:t>
      </w:r>
    </w:p>
    <w:p>
      <w:pPr>
        <w:spacing w:before="0" w:after="0" w:line="408" w:lineRule="exact"/>
        <w:ind w:left="0" w:right="0" w:firstLine="576"/>
        <w:jc w:val="left"/>
      </w:pPr>
      <w:r>
        <w:rPr>
          <w:u w:val="single"/>
        </w:rPr>
        <w:t xml:space="preserve">(b) Clean air delivery rate per watt for dust must be equal to or greater than 2.0;</w:t>
      </w:r>
    </w:p>
    <w:p>
      <w:pPr>
        <w:spacing w:before="0" w:after="0" w:line="408" w:lineRule="exact"/>
        <w:ind w:left="0" w:right="0" w:firstLine="576"/>
        <w:jc w:val="left"/>
      </w:pPr>
      <w:r>
        <w:rPr>
          <w:u w:val="single"/>
        </w:rPr>
        <w:t xml:space="preserve">(c) For ozone-emitting models, measured ozone must be less than or equal to 50 parts per billion; and</w:t>
      </w:r>
    </w:p>
    <w:p>
      <w:pPr>
        <w:spacing w:before="0" w:after="0" w:line="408" w:lineRule="exact"/>
        <w:ind w:left="0" w:right="0" w:firstLine="576"/>
        <w:jc w:val="left"/>
      </w:pPr>
      <w:r>
        <w:rPr>
          <w:u w:val="single"/>
        </w:rPr>
        <w:t xml:space="preserve">(d) Standby power may not exceed two watts.</w:t>
      </w:r>
    </w:p>
    <w:p>
      <w:pPr>
        <w:spacing w:before="0" w:after="0" w:line="408" w:lineRule="exact"/>
        <w:ind w:left="0" w:right="0" w:firstLine="576"/>
        <w:jc w:val="left"/>
      </w:pPr>
      <w:r>
        <w:rPr>
          <w:u w:val="single"/>
        </w:rPr>
        <w:t xml:space="preserve">(8) Commercial dishwashers included in the scope of the environmental protection agency energy star program product specification for commercial dishwashers, version 2.0, must meet the qualification criteria of that specification.</w:t>
      </w:r>
    </w:p>
    <w:p>
      <w:pPr>
        <w:spacing w:before="0" w:after="0" w:line="408" w:lineRule="exact"/>
        <w:ind w:left="0" w:right="0" w:firstLine="576"/>
        <w:jc w:val="left"/>
      </w:pPr>
      <w:r>
        <w:rPr>
          <w:u w:val="single"/>
        </w:rPr>
        <w:t xml:space="preserve">(9) Commercial fryers included in the scope of the environmental protection agency energy star program product specification for commercial fryers, version 2.0, must meet the qualification criteria for that specification.</w:t>
      </w:r>
    </w:p>
    <w:p>
      <w:pPr>
        <w:spacing w:before="0" w:after="0" w:line="408" w:lineRule="exact"/>
        <w:ind w:left="0" w:right="0" w:firstLine="576"/>
        <w:jc w:val="left"/>
      </w:pPr>
      <w:r>
        <w:rPr>
          <w:u w:val="single"/>
        </w:rPr>
        <w:t xml:space="preserve">(10) Commercial steam cookers must meet the requirements of the environmental protection agency energy star program product specification for commercial steam cookers, version 1.2.</w:t>
      </w:r>
    </w:p>
    <w:p>
      <w:pPr>
        <w:spacing w:before="0" w:after="0" w:line="408" w:lineRule="exact"/>
        <w:ind w:left="0" w:right="0" w:firstLine="576"/>
        <w:jc w:val="left"/>
      </w:pPr>
      <w:r>
        <w:rPr>
          <w:u w:val="single"/>
        </w:rPr>
        <w:t xml:space="preserve">(11) Computers and computer monitors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(12) Compressors that meet the criteria listed in 10 C.F.R. Sec. 431.344 must meet the requirements in 10 C.F.R. Sec. 431.343 in effect as of July 3, 2017, as measured in accordance with the test methods prescribed in 10 C.F.R. Sec. 431.344 (appendix A to subpart T of part 431).</w:t>
      </w:r>
    </w:p>
    <w:p>
      <w:pPr>
        <w:spacing w:before="0" w:after="0" w:line="408" w:lineRule="exact"/>
        <w:ind w:left="0" w:right="0" w:firstLine="576"/>
        <w:jc w:val="left"/>
      </w:pPr>
      <w:r>
        <w:rPr>
          <w:u w:val="single"/>
        </w:rPr>
        <w:t xml:space="preserve">(13) Faucets, except for metering faucets, and showerheads must meet the following standards when measured in accordance with the test methods prescribed in 10 C.F.R. Sec. 430.23 (appendix S to subpart B of part 430) in effect as of January 3, 2017:</w:t>
      </w:r>
    </w:p>
    <w:p>
      <w:pPr>
        <w:spacing w:before="0" w:after="0" w:line="408" w:lineRule="exact"/>
        <w:ind w:left="0" w:right="0" w:firstLine="576"/>
        <w:jc w:val="left"/>
      </w:pPr>
      <w:r>
        <w:rPr>
          <w:u w:val="single"/>
        </w:rPr>
        <w:t xml:space="preserve">(a) Lavatory faucets and replacement aerators may not exceed a maximum flow rate of 1.2 gallons per minute at 60 pounds per square inch;</w:t>
      </w:r>
    </w:p>
    <w:p>
      <w:pPr>
        <w:spacing w:before="0" w:after="0" w:line="408" w:lineRule="exact"/>
        <w:ind w:left="0" w:right="0" w:firstLine="576"/>
        <w:jc w:val="left"/>
      </w:pPr>
      <w:r>
        <w:rPr>
          <w:u w:val="single"/>
        </w:rPr>
        <w:t xml:space="preserve">(b) Kitchen faucets and replacement aerators may not exceed a maximum flow rate of 1.8 gallons per minute at 60 pounds per square inch, with optional temporary flow of 2.2 gallons per minute, provided the kitchen faucets and replacement aerators default to a maximum flow rate of 1.8 gallons per minute at 60 pounds per square inch after each use;</w:t>
      </w:r>
    </w:p>
    <w:p>
      <w:pPr>
        <w:spacing w:before="0" w:after="0" w:line="408" w:lineRule="exact"/>
        <w:ind w:left="0" w:right="0" w:firstLine="576"/>
        <w:jc w:val="left"/>
      </w:pPr>
      <w:r>
        <w:rPr>
          <w:u w:val="single"/>
        </w:rPr>
        <w:t xml:space="preserve">(c) Public lavatory faucets and replacement aerators may not exceed a maximum flow rate of 0.5 gallons per minute at 60 pounds per square inch; and</w:t>
      </w:r>
    </w:p>
    <w:p>
      <w:pPr>
        <w:spacing w:before="0" w:after="0" w:line="408" w:lineRule="exact"/>
        <w:ind w:left="0" w:right="0" w:firstLine="576"/>
        <w:jc w:val="left"/>
      </w:pPr>
      <w:r>
        <w:rPr>
          <w:u w:val="single"/>
        </w:rPr>
        <w:t xml:space="preserve">(d) Showerheads may not exceed a maximum flow rate of 1.8 gallons per minute at 80 pounds per square inch.</w:t>
      </w:r>
    </w:p>
    <w:p>
      <w:pPr>
        <w:spacing w:before="0" w:after="0" w:line="408" w:lineRule="exact"/>
        <w:ind w:left="0" w:right="0" w:firstLine="576"/>
        <w:jc w:val="left"/>
      </w:pPr>
      <w:r>
        <w:rPr>
          <w:u w:val="single"/>
        </w:rPr>
        <w:t xml:space="preserve">(14) High CRI fluorescent lamps must meet the requirements in 10 C.F.R. Sec. 430.32 in effect as of January 3, 2017, as measured in accordance with the test methods prescribed in 10 C.F.R. Sec. 430.23 (appendix R to subpart B of part 430) in effect as of January 3, 2017.</w:t>
      </w:r>
    </w:p>
    <w:p>
      <w:pPr>
        <w:spacing w:before="0" w:after="0" w:line="408" w:lineRule="exact"/>
        <w:ind w:left="0" w:right="0" w:firstLine="576"/>
        <w:jc w:val="left"/>
      </w:pPr>
      <w:r>
        <w:rPr>
          <w:u w:val="single"/>
        </w:rPr>
        <w:t xml:space="preserve">(15) Portable air conditioners must have a combined energy efficiency ratio, as measured in accordance with the test methods prescribed in 10 C.F.R. Sec. 430.23 (appendix CC to subpart B of part 430) in effect as of January 3, 2017, that is greater than or equal to:</w:t>
      </w:r>
    </w:p>
    <w:tbl>
      <w:tblPr>
        <w:tblW w:w="0" w:type="auto"/>
        <w:jc w:val="center"/>
        <w:tcMar>
          <w:tblCellMar>
            <w:top w:w="0" w:type="dxa"/>
          </w:tblCellMar>
        </w:tcMar>
        <w:tcMar>
          <w:tblCellMar>
            <w:left w:w="70" w:type="dxa"/>
            <w:right w:w="70" w:type="dxa"/>
          </w:tblCellMar>
        </w:tcMar>
      </w:tblPr>
      <w:tblGrid>
        <w:gridCol w:w="2000"/>
        <w:gridCol w:w="2860"/>
      </w:tblGrid>
      <w:tr>
        <w:tc>
          <w:tcPr>
            <w:gridSpan w:val="1"/>
            <w:tcW w:w="2000" w:type="dxa"/>
            <w:vAlign w:val="center"/>
          </w:tcPr>
          <w:p>
            <w:pPr>
              <w:spacing w:before="0" w:after="0" w:line="408" w:lineRule="exact"/>
              <w:ind w:left="0" w:right="0" w:firstLine="0"/>
              <w:jc w:val="right"/>
            </w:pPr>
            <w:r>
              <w:rPr>
                <w:rFonts w:ascii="Times New Roman" w:hAnsi="Times New Roman"/>
                <w:sz w:val="20"/>
              </w:rPr>
              <w:t xml:space="preserve">1.04 ×</w:t>
            </w:r>
          </w:p>
        </w:tc>
        <w:tc>
          <w:tcPr>
            <w:tcW w:w="2860" w:type="dxa"/>
            <w:vAlign w:val="top"/>
            <w:tcBorders>
              <w:bottom w:val="single"/>
            </w:tcBorders>
          </w:tcPr>
          <w:p>
            <w:pPr>
              <w:spacing w:before="0" w:after="0" w:line="408" w:lineRule="exact"/>
              <w:ind w:left="0" w:right="0" w:firstLine="0"/>
              <w:jc w:val="center"/>
            </w:pPr>
            <w:r>
              <w:rPr>
                <w:rFonts w:ascii="Times New Roman" w:hAnsi="Times New Roman"/>
                <w:i/>
                <w:sz w:val="20"/>
              </w:rPr>
              <w:t xml:space="preserve">SACC</w:t>
            </w:r>
          </w:p>
        </w:tc>
      </w:tr>
      <w:tr>
        <w:tc>
          <w:p/>
        </w:tc>
        <w:tc>
          <w:tcPr>
            <w:tcW w:w="2000" w:type="dxa"/>
            <w:vAlign w:val="top"/>
          </w:tcPr>
          <w:p>
            <w:pPr>
              <w:spacing w:before="0" w:after="0" w:line="408" w:lineRule="exact"/>
              <w:ind w:left="0" w:right="0" w:firstLine="0"/>
              <w:jc w:val="center"/>
            </w:pPr>
            <w:r>
              <w:rPr>
                <w:rFonts w:ascii="Times New Roman" w:hAnsi="Times New Roman"/>
                <w:sz w:val="20"/>
              </w:rPr>
              <w:t xml:space="preserve">(3.7117 × </w:t>
            </w:r>
            <w:r>
              <w:rPr>
                <w:rFonts w:ascii="Times New Roman" w:hAnsi="Times New Roman"/>
                <w:i/>
                <w:sz w:val="20"/>
              </w:rPr>
              <w:t xml:space="preserve">SACC </w:t>
            </w:r>
            <w:r>
              <w:rPr>
                <w:rFonts w:ascii="Times New Roman" w:hAnsi="Times New Roman"/>
                <w:sz w:val="20"/>
                <w:vertAlign w:val="superscript"/>
              </w:rPr>
              <w:t xml:space="preserve">0.6384</w:t>
            </w:r>
            <w:r>
              <w:rPr>
                <w:rFonts w:ascii="Times New Roman" w:hAnsi="Times New Roman"/>
                <w:sz w:val="20"/>
              </w:rPr>
              <w:t xml:space="preserve">)</w:t>
            </w:r>
          </w:p>
        </w:tc>
      </w:tr>
    </w:tbl>
    <w:p>
      <w:pPr>
        <w:spacing w:before="0" w:after="0" w:line="408" w:lineRule="exact"/>
        <w:ind w:left="0" w:right="0" w:firstLine="576"/>
        <w:jc w:val="left"/>
      </w:pPr>
      <w:r>
        <w:rPr>
          <w:u w:val="single"/>
        </w:rPr>
        <w:t xml:space="preserve">where "SACC" is seasonally adjusted cooling capacity in Btu/h.</w:t>
      </w:r>
    </w:p>
    <w:p>
      <w:pPr>
        <w:spacing w:before="0" w:after="0" w:line="408" w:lineRule="exact"/>
        <w:ind w:left="0" w:right="0" w:firstLine="576"/>
        <w:jc w:val="left"/>
      </w:pPr>
      <w:r>
        <w:rPr>
          <w:u w:val="single"/>
        </w:rPr>
        <w:t xml:space="preserve">(16) Residential ventilating fans must meet the qualification criteria of the environmental protection agency energy star program product specification for residential ventilating fans, version 3.2.</w:t>
      </w:r>
    </w:p>
    <w:p>
      <w:pPr>
        <w:spacing w:before="0" w:after="0" w:line="408" w:lineRule="exact"/>
        <w:ind w:left="0" w:right="0" w:firstLine="576"/>
        <w:jc w:val="left"/>
      </w:pPr>
      <w:r>
        <w:rPr>
          <w:u w:val="single"/>
        </w:rPr>
        <w:t xml:space="preserve">(17) Signage displays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(18) Spray sprinkler bodies that are not specifically excluded from the scope of the environmental protection agency water sense program product specification for spray sprinkler bodies, version 1.0, must include an integral pressure regulator and must meet the water efficiency and performance criteria and other requirements of that specification.</w:t>
      </w:r>
    </w:p>
    <w:p>
      <w:pPr>
        <w:spacing w:before="0" w:after="0" w:line="408" w:lineRule="exact"/>
        <w:ind w:left="0" w:right="0" w:firstLine="576"/>
        <w:jc w:val="left"/>
      </w:pPr>
      <w:r>
        <w:rPr>
          <w:u w:val="single"/>
        </w:rPr>
        <w:t xml:space="preserve">(19) Telephones included in the scope of the environmental protection agency energy star program product specification for telephony, version 3.0, must meet the certification criteria of that specification, except that the performance requirements for external power supplies in section 3.2.2 of the specification does not apply.</w:t>
      </w:r>
    </w:p>
    <w:p>
      <w:pPr>
        <w:spacing w:before="0" w:after="0" w:line="408" w:lineRule="exact"/>
        <w:ind w:left="0" w:right="0" w:firstLine="576"/>
        <w:jc w:val="left"/>
      </w:pPr>
      <w:r>
        <w:rPr>
          <w:u w:val="single"/>
        </w:rPr>
        <w:t xml:space="preserve">(20) Televisions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(21) Urinals and water closets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(22) Uninterruptible power supplies that utilize a NEMA 1-15P or 5-15P input plug and have an AC output must have an average load adjusted efficiency that meets or exceeds the values shown on page 193 of the prepublication final rule "Energy Conservation Program: Energy Conservation Standards for Uninterruptible Power Supplies" issued by the United States department of energy on December 28, 2016, as measured in accordance with test procedures prescribed in Appendix Y to Subpart B of Part 430 of Title 10 of the Code of Federal Regulations "Uniform Test Method for Measuring the Energy Consumption of Battery Chargers" in effect as of January 11, 2017.</w:t>
      </w:r>
    </w:p>
    <w:p>
      <w:pPr>
        <w:spacing w:before="0" w:after="0" w:line="408" w:lineRule="exact"/>
        <w:ind w:left="0" w:right="0" w:firstLine="576"/>
        <w:jc w:val="left"/>
      </w:pPr>
      <w:r>
        <w:rPr>
          <w:u w:val="single"/>
        </w:rPr>
        <w:t xml:space="preserve">(23) Water coolers included in the scope of the environmental protection agency energy star program product specification for water coolers, version 2.0, must have an on mode with no water draw energy consumption less than or equal to the following values as measured in accordance with the test requirements of that program:</w:t>
      </w:r>
    </w:p>
    <w:p>
      <w:pPr>
        <w:spacing w:before="0" w:after="0" w:line="408" w:lineRule="exact"/>
        <w:ind w:left="0" w:right="0" w:firstLine="576"/>
        <w:jc w:val="left"/>
      </w:pPr>
      <w:r>
        <w:rPr>
          <w:u w:val="single"/>
        </w:rPr>
        <w:t xml:space="preserve">(a) 0.16 kilowatt-hours per day for cold-only units and cook and cold units;</w:t>
      </w:r>
    </w:p>
    <w:p>
      <w:pPr>
        <w:spacing w:before="0" w:after="0" w:line="408" w:lineRule="exact"/>
        <w:ind w:left="0" w:right="0" w:firstLine="576"/>
        <w:jc w:val="left"/>
      </w:pPr>
      <w:r>
        <w:rPr>
          <w:u w:val="single"/>
        </w:rPr>
        <w:t xml:space="preserve">(b) 0.87 kilowatt-hours per day for storage type hot and cold units; and</w:t>
      </w:r>
    </w:p>
    <w:p>
      <w:pPr>
        <w:spacing w:before="0" w:after="0" w:line="408" w:lineRule="exact"/>
        <w:ind w:left="0" w:right="0" w:firstLine="576"/>
        <w:jc w:val="left"/>
      </w:pPr>
      <w:r>
        <w:rPr>
          <w:u w:val="single"/>
        </w:rPr>
        <w:t xml:space="preserve">(c) 0.18 kilowatt-hours per day for on demand hot and cold units.</w:t>
      </w:r>
    </w:p>
    <w:p>
      <w:pPr>
        <w:spacing w:before="0" w:after="0" w:line="408" w:lineRule="exact"/>
        <w:ind w:left="0" w:right="0" w:firstLine="576"/>
        <w:jc w:val="left"/>
      </w:pPr>
      <w:r>
        <w:rPr>
          <w:u w:val="single"/>
        </w:rPr>
        <w:t xml:space="preserve">(24) Audio or video products included in the scope of the environmental protection agency energy star program product specification for audio or video, version 3.0, as revised December 2014, must meet the qualification criteria of that specification, except that the performance requirements for external power supplies in section 3.2.1 of the specification do not apply.</w:t>
      </w:r>
    </w:p>
    <w:p>
      <w:pPr>
        <w:spacing w:before="0" w:after="0" w:line="408" w:lineRule="exact"/>
        <w:ind w:left="0" w:right="0" w:firstLine="576"/>
        <w:jc w:val="left"/>
      </w:pPr>
      <w:r>
        <w:rPr>
          <w:u w:val="single"/>
        </w:rPr>
        <w:t xml:space="preserve">(25) General service lamps must meet or exceed a lamp efficacy of 45 lumens per watt, when tested in accordance with the applicable federal test procedures for general service lamps prescribed in 10 C.F.R. Sec. 430.23 in effect as of January 3,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No new </w:t>
      </w:r>
      <w:r>
        <w:t>((</w:t>
      </w:r>
      <w:r>
        <w:rPr>
          <w:strike/>
        </w:rPr>
        <w:t xml:space="preserve">commercial refrigerator or freezer or</w:t>
      </w:r>
      <w:r>
        <w:t>))</w:t>
      </w:r>
      <w:r>
        <w:rPr/>
        <w:t xml:space="preserve"> state-regulated incandescent reflector lamp manufactured on or after January 1, 2007, may be sold or offered for sale in the state unless the efficiency of the new product meets or exceeds the efficiency standards set forth in RCW 19.260.040. </w:t>
      </w:r>
      <w:r>
        <w:t>((</w:t>
      </w:r>
      <w:r>
        <w:rPr>
          <w:strike/>
        </w:rPr>
        <w:t xml:space="preserve">No new automatic commercial ice cube machine manufactured on or after January 1, 2008, may be sold or offered for sale in the state unless the efficiency of the new product meets or exceeds the efficiency standards set forth in RCW 19.260.040.</w:t>
      </w:r>
      <w:r>
        <w:t>))</w:t>
      </w:r>
    </w:p>
    <w:p>
      <w:pPr>
        <w:spacing w:before="0" w:after="0" w:line="408" w:lineRule="exact"/>
        <w:ind w:left="0" w:right="0" w:firstLine="576"/>
        <w:jc w:val="left"/>
      </w:pPr>
      <w:r>
        <w:rPr/>
        <w:t xml:space="preserve">(2) </w:t>
      </w:r>
      <w:r>
        <w:t>((</w:t>
      </w:r>
      <w:r>
        <w:rPr>
          <w:strike/>
        </w:rPr>
        <w:t xml:space="preserve">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(3)</w:t>
      </w:r>
      <w:r>
        <w:t>))</w:t>
      </w:r>
      <w:r>
        <w:rPr/>
        <w:t xml:space="preserve"> Standards for state-regulated incandescent reflector lamps are effective on the date</w:t>
      </w:r>
      <w:r>
        <w:t>((</w:t>
      </w:r>
      <w:r>
        <w:rPr>
          <w:strike/>
        </w:rPr>
        <w:t xml:space="preserve">s</w:t>
      </w:r>
      <w:r>
        <w:t>))</w:t>
      </w:r>
      <w:r>
        <w:rPr/>
        <w:t xml:space="preserve"> specified in subsection</w:t>
      </w:r>
      <w:r>
        <w:t>((</w:t>
      </w:r>
      <w:r>
        <w:rPr>
          <w:strike/>
        </w:rPr>
        <w:t xml:space="preserve">s</w:t>
      </w:r>
      <w:r>
        <w:t>))</w:t>
      </w:r>
      <w:r>
        <w:rPr/>
        <w:t xml:space="preserve"> (1) </w:t>
      </w:r>
      <w:r>
        <w:t>((</w:t>
      </w:r>
      <w:r>
        <w:rPr>
          <w:strike/>
        </w:rPr>
        <w:t xml:space="preserve">and (2)</w:t>
      </w:r>
      <w:r>
        <w:t>))</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w:t>
      </w:r>
      <w:r>
        <w:t>((</w:t>
      </w:r>
      <w:r>
        <w:rPr>
          <w:strike/>
        </w:rPr>
        <w:t xml:space="preserve">Pool heaters,</w:t>
      </w:r>
      <w:r>
        <w:t>))</w:t>
      </w:r>
      <w:r>
        <w:rPr/>
        <w:t xml:space="preserve"> </w:t>
      </w:r>
      <w:r>
        <w:rPr>
          <w:u w:val="single"/>
        </w:rPr>
        <w:t xml:space="preserve">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w:t>
      </w:r>
      <w:r>
        <w:t>((</w:t>
      </w:r>
      <w:r>
        <w:rPr>
          <w:strike/>
        </w:rPr>
        <w:t xml:space="preserve">Pool heaters,</w:t>
      </w:r>
      <w:r>
        <w:t>))</w:t>
      </w:r>
      <w:r>
        <w:rPr/>
        <w:t xml:space="preserve"> </w:t>
      </w:r>
      <w:r>
        <w:rPr>
          <w:u w:val="single"/>
        </w:rPr>
        <w:t xml:space="preserve">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u w:val="single"/>
        </w:rPr>
        <w:t xml:space="preserve">(5) The following products, if manufactured on or after January 1, 2020,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(a) Air purifiers;</w:t>
      </w:r>
    </w:p>
    <w:p>
      <w:pPr>
        <w:spacing w:before="0" w:after="0" w:line="408" w:lineRule="exact"/>
        <w:ind w:left="0" w:right="0" w:firstLine="576"/>
        <w:jc w:val="left"/>
      </w:pPr>
      <w:r>
        <w:rPr>
          <w:u w:val="single"/>
        </w:rPr>
        <w:t xml:space="preserve">(b) Commercial dishwashers;</w:t>
      </w:r>
    </w:p>
    <w:p>
      <w:pPr>
        <w:spacing w:before="0" w:after="0" w:line="408" w:lineRule="exact"/>
        <w:ind w:left="0" w:right="0" w:firstLine="576"/>
        <w:jc w:val="left"/>
      </w:pPr>
      <w:r>
        <w:rPr>
          <w:u w:val="single"/>
        </w:rPr>
        <w:t xml:space="preserve">(c) Commercial fryers;</w:t>
      </w:r>
    </w:p>
    <w:p>
      <w:pPr>
        <w:spacing w:before="0" w:after="0" w:line="408" w:lineRule="exact"/>
        <w:ind w:left="0" w:right="0" w:firstLine="576"/>
        <w:jc w:val="left"/>
      </w:pPr>
      <w:r>
        <w:rPr>
          <w:u w:val="single"/>
        </w:rPr>
        <w:t xml:space="preserve">(d) Commercial steam cookers;</w:t>
      </w:r>
    </w:p>
    <w:p>
      <w:pPr>
        <w:spacing w:before="0" w:after="0" w:line="408" w:lineRule="exact"/>
        <w:ind w:left="0" w:right="0" w:firstLine="576"/>
        <w:jc w:val="left"/>
      </w:pPr>
      <w:r>
        <w:rPr>
          <w:u w:val="single"/>
        </w:rPr>
        <w:t xml:space="preserve">(e) Compressors;</w:t>
      </w:r>
    </w:p>
    <w:p>
      <w:pPr>
        <w:spacing w:before="0" w:after="0" w:line="408" w:lineRule="exact"/>
        <w:ind w:left="0" w:right="0" w:firstLine="576"/>
        <w:jc w:val="left"/>
      </w:pPr>
      <w:r>
        <w:rPr>
          <w:u w:val="single"/>
        </w:rPr>
        <w:t xml:space="preserve">(f) Computers or computer monitors;</w:t>
      </w:r>
    </w:p>
    <w:p>
      <w:pPr>
        <w:spacing w:before="0" w:after="0" w:line="408" w:lineRule="exact"/>
        <w:ind w:left="0" w:right="0" w:firstLine="576"/>
        <w:jc w:val="left"/>
      </w:pPr>
      <w:r>
        <w:rPr>
          <w:u w:val="single"/>
        </w:rPr>
        <w:t xml:space="preserve">(g) Faucets;</w:t>
      </w:r>
    </w:p>
    <w:p>
      <w:pPr>
        <w:spacing w:before="0" w:after="0" w:line="408" w:lineRule="exact"/>
        <w:ind w:left="0" w:right="0" w:firstLine="576"/>
        <w:jc w:val="left"/>
      </w:pPr>
      <w:r>
        <w:rPr>
          <w:u w:val="single"/>
        </w:rPr>
        <w:t xml:space="preserve">(h) High CRI fluorescent lamps;</w:t>
      </w:r>
    </w:p>
    <w:p>
      <w:pPr>
        <w:spacing w:before="0" w:after="0" w:line="408" w:lineRule="exact"/>
        <w:ind w:left="0" w:right="0" w:firstLine="576"/>
        <w:jc w:val="left"/>
      </w:pPr>
      <w:r>
        <w:rPr>
          <w:u w:val="single"/>
        </w:rPr>
        <w:t xml:space="preserve">(i) Portable air conditioners;</w:t>
      </w:r>
    </w:p>
    <w:p>
      <w:pPr>
        <w:spacing w:before="0" w:after="0" w:line="408" w:lineRule="exact"/>
        <w:ind w:left="0" w:right="0" w:firstLine="576"/>
        <w:jc w:val="left"/>
      </w:pPr>
      <w:r>
        <w:rPr>
          <w:u w:val="single"/>
        </w:rPr>
        <w:t xml:space="preserve">(j) Residential ventilating fans;</w:t>
      </w:r>
    </w:p>
    <w:p>
      <w:pPr>
        <w:spacing w:before="0" w:after="0" w:line="408" w:lineRule="exact"/>
        <w:ind w:left="0" w:right="0" w:firstLine="576"/>
        <w:jc w:val="left"/>
      </w:pPr>
      <w:r>
        <w:rPr>
          <w:u w:val="single"/>
        </w:rPr>
        <w:t xml:space="preserve">(k) Signage displays;</w:t>
      </w:r>
    </w:p>
    <w:p>
      <w:pPr>
        <w:spacing w:before="0" w:after="0" w:line="408" w:lineRule="exact"/>
        <w:ind w:left="0" w:right="0" w:firstLine="576"/>
        <w:jc w:val="left"/>
      </w:pPr>
      <w:r>
        <w:rPr>
          <w:u w:val="single"/>
        </w:rPr>
        <w:t xml:space="preserve">(l) Spray sprinkler bodies;</w:t>
      </w:r>
    </w:p>
    <w:p>
      <w:pPr>
        <w:spacing w:before="0" w:after="0" w:line="408" w:lineRule="exact"/>
        <w:ind w:left="0" w:right="0" w:firstLine="576"/>
        <w:jc w:val="left"/>
      </w:pPr>
      <w:r>
        <w:rPr>
          <w:u w:val="single"/>
        </w:rPr>
        <w:t xml:space="preserve">(m) Showerheads;</w:t>
      </w:r>
    </w:p>
    <w:p>
      <w:pPr>
        <w:spacing w:before="0" w:after="0" w:line="408" w:lineRule="exact"/>
        <w:ind w:left="0" w:right="0" w:firstLine="576"/>
        <w:jc w:val="left"/>
      </w:pPr>
      <w:r>
        <w:rPr>
          <w:u w:val="single"/>
        </w:rPr>
        <w:t xml:space="preserve">(n) Telephones;</w:t>
      </w:r>
    </w:p>
    <w:p>
      <w:pPr>
        <w:spacing w:before="0" w:after="0" w:line="408" w:lineRule="exact"/>
        <w:ind w:left="0" w:right="0" w:firstLine="576"/>
        <w:jc w:val="left"/>
      </w:pPr>
      <w:r>
        <w:rPr>
          <w:u w:val="single"/>
        </w:rPr>
        <w:t xml:space="preserve">(o) Televisions;</w:t>
      </w:r>
    </w:p>
    <w:p>
      <w:pPr>
        <w:spacing w:before="0" w:after="0" w:line="408" w:lineRule="exact"/>
        <w:ind w:left="0" w:right="0" w:firstLine="576"/>
        <w:jc w:val="left"/>
      </w:pPr>
      <w:r>
        <w:rPr>
          <w:u w:val="single"/>
        </w:rPr>
        <w:t xml:space="preserve">(p) Uninterruptible power supplies;</w:t>
      </w:r>
    </w:p>
    <w:p>
      <w:pPr>
        <w:spacing w:before="0" w:after="0" w:line="408" w:lineRule="exact"/>
        <w:ind w:left="0" w:right="0" w:firstLine="576"/>
        <w:jc w:val="left"/>
      </w:pPr>
      <w:r>
        <w:rPr>
          <w:u w:val="single"/>
        </w:rPr>
        <w:t xml:space="preserve">(q) Urinals and water closets;</w:t>
      </w:r>
    </w:p>
    <w:p>
      <w:pPr>
        <w:spacing w:before="0" w:after="0" w:line="408" w:lineRule="exact"/>
        <w:ind w:left="0" w:right="0" w:firstLine="576"/>
        <w:jc w:val="left"/>
      </w:pPr>
      <w:r>
        <w:rPr>
          <w:u w:val="single"/>
        </w:rPr>
        <w:t xml:space="preserve">(r) Water coolers;</w:t>
      </w:r>
    </w:p>
    <w:p>
      <w:pPr>
        <w:spacing w:before="0" w:after="0" w:line="408" w:lineRule="exact"/>
        <w:ind w:left="0" w:right="0" w:firstLine="576"/>
        <w:jc w:val="left"/>
      </w:pPr>
      <w:r>
        <w:rPr>
          <w:u w:val="single"/>
        </w:rPr>
        <w:t xml:space="preserve">(s) Audio or video products; and</w:t>
      </w:r>
    </w:p>
    <w:p>
      <w:pPr>
        <w:spacing w:before="0" w:after="0" w:line="408" w:lineRule="exact"/>
        <w:ind w:left="0" w:right="0" w:firstLine="576"/>
        <w:jc w:val="left"/>
      </w:pPr>
      <w:r>
        <w:rPr>
          <w:u w:val="single"/>
        </w:rPr>
        <w:t xml:space="preserve">(t) General service lamps.</w:t>
      </w:r>
    </w:p>
    <w:p>
      <w:pPr>
        <w:spacing w:before="0" w:after="0" w:line="408" w:lineRule="exact"/>
        <w:ind w:left="0" w:right="0" w:firstLine="576"/>
        <w:jc w:val="left"/>
      </w:pPr>
      <w:r>
        <w:rPr>
          <w:u w:val="single"/>
        </w:rPr>
        <w:t xml:space="preserve">(6) Standards for the following products expire January 1, 2020:</w:t>
      </w:r>
    </w:p>
    <w:p>
      <w:pPr>
        <w:spacing w:before="0" w:after="0" w:line="408" w:lineRule="exact"/>
        <w:ind w:left="0" w:right="0" w:firstLine="576"/>
        <w:jc w:val="left"/>
      </w:pPr>
      <w:r>
        <w:rPr>
          <w:u w:val="single"/>
        </w:rPr>
        <w:t xml:space="preserve">(a) Hot water dispensers; and</w:t>
      </w:r>
    </w:p>
    <w:p>
      <w:pPr>
        <w:spacing w:before="0" w:after="0" w:line="408" w:lineRule="exact"/>
        <w:ind w:left="0" w:right="0" w:firstLine="576"/>
        <w:jc w:val="left"/>
      </w:pPr>
      <w:r>
        <w:rPr>
          <w:u w:val="single"/>
        </w:rPr>
        <w:t xml:space="preserve">(b) Bottle-type water dispensers and point-of-use water dispensers.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060</w:t>
      </w:r>
      <w:r>
        <w:rPr/>
        <w:t xml:space="preserve"> and 2005 c 298 s 6 are each amended to read as follows:</w:t>
      </w:r>
    </w:p>
    <w:p>
      <w:pPr>
        <w:spacing w:before="0" w:after="0" w:line="408" w:lineRule="exact"/>
        <w:ind w:left="0" w:right="0" w:firstLine="576"/>
        <w:jc w:val="left"/>
      </w:pPr>
      <w:r>
        <w:rPr>
          <w:u w:val="single"/>
        </w:rPr>
        <w:t xml:space="preserve">(1) The department may adopt rules that incorporate by reference only federal efficiency standards for federally covered products as the standards existed on January 3, 2017. The department must regularly submit a report to the appropriate committees of the legislature on federal standards that preempt the state standards set forth in RCW 19.260.040. Any report on federal preemption must be transmitted at least thirty days before the start of any regular legislative session.</w:t>
      </w:r>
    </w:p>
    <w:p>
      <w:pPr>
        <w:spacing w:before="0" w:after="0" w:line="408" w:lineRule="exact"/>
        <w:ind w:left="0" w:right="0" w:firstLine="576"/>
        <w:jc w:val="left"/>
      </w:pPr>
      <w:r>
        <w:rPr>
          <w:u w:val="single"/>
        </w:rPr>
        <w:t xml:space="preserve">(2)</w:t>
      </w:r>
      <w:r>
        <w:rPr/>
        <w:t xml:space="preserve"> The department may recommend updates to the energy efficiency standards and test methods for products listed in RCW 19.260.030. The department may also recommend establishing state standards for additional nonfederally covered products. In making its recommendations, the department shall use the following criteria: </w:t>
      </w:r>
      <w:r>
        <w:t>((</w:t>
      </w:r>
      <w:r>
        <w:rPr>
          <w:strike/>
        </w:rPr>
        <w:t xml:space="preserve">(1)</w:t>
      </w:r>
      <w:r>
        <w:t>))</w:t>
      </w:r>
      <w:r>
        <w:rPr/>
        <w:t xml:space="preserve"> </w:t>
      </w:r>
      <w:r>
        <w:rPr>
          <w:u w:val="single"/>
        </w:rPr>
        <w:t xml:space="preserve">(a)</w:t>
      </w:r>
      <w:r>
        <w:rPr/>
        <w:t xml:space="preserve"> Multiple manufacturers produce products that meet the proposed standard at the time of recommendation</w:t>
      </w:r>
      <w:r>
        <w:t>((</w:t>
      </w:r>
      <w:r>
        <w:rPr>
          <w:strike/>
        </w:rPr>
        <w:t xml:space="preserve">, (2)</w:t>
      </w:r>
      <w:r>
        <w:t>))</w:t>
      </w:r>
      <w:r>
        <w:rPr>
          <w:u w:val="single"/>
        </w:rPr>
        <w:t xml:space="preserve">; (b)</w:t>
      </w:r>
      <w:r>
        <w:rPr/>
        <w:t xml:space="preserve"> products meeting the proposed standard are available at the time of recommendation</w:t>
      </w:r>
      <w:r>
        <w:t>((</w:t>
      </w:r>
      <w:r>
        <w:rPr>
          <w:strike/>
        </w:rPr>
        <w:t xml:space="preserve">, (3)</w:t>
      </w:r>
      <w:r>
        <w:t>))</w:t>
      </w:r>
      <w:r>
        <w:rPr>
          <w:u w:val="single"/>
        </w:rPr>
        <w:t xml:space="preserve">; (c)</w:t>
      </w:r>
      <w:r>
        <w:rPr/>
        <w:t xml:space="preserve"> the products are cost-effective to consumers on a life-cycle cost basis using average Washington resource rates</w:t>
      </w:r>
      <w:r>
        <w:t>((</w:t>
      </w:r>
      <w:r>
        <w:rPr>
          <w:strike/>
        </w:rPr>
        <w:t xml:space="preserve">, (4)</w:t>
      </w:r>
      <w:r>
        <w:t>))</w:t>
      </w:r>
      <w:r>
        <w:rPr>
          <w:u w:val="single"/>
        </w:rPr>
        <w:t xml:space="preserve">; (d)</w:t>
      </w:r>
      <w:r>
        <w:rPr/>
        <w:t xml:space="preserve"> the utility of the energy efficient product meets or exceeds the utility of the comparable product available for purchase</w:t>
      </w:r>
      <w:r>
        <w:t>((</w:t>
      </w:r>
      <w:r>
        <w:rPr>
          <w:strike/>
        </w:rPr>
        <w:t xml:space="preserve">,</w:t>
      </w:r>
      <w:r>
        <w:t>))</w:t>
      </w:r>
      <w:r>
        <w:rPr>
          <w:u w:val="single"/>
        </w:rPr>
        <w:t xml:space="preserve">;</w:t>
      </w:r>
      <w:r>
        <w:rPr/>
        <w:t xml:space="preserve"> and </w:t>
      </w:r>
      <w:r>
        <w:t>((</w:t>
      </w:r>
      <w:r>
        <w:rPr>
          <w:strike/>
        </w:rPr>
        <w:t xml:space="preserve">(5)</w:t>
      </w:r>
      <w:r>
        <w:t>))</w:t>
      </w:r>
      <w:r>
        <w:rPr/>
        <w:t xml:space="preserve"> </w:t>
      </w:r>
      <w:r>
        <w:rPr>
          <w:u w:val="single"/>
        </w:rPr>
        <w:t xml:space="preserve">(e)</w:t>
      </w:r>
      <w:r>
        <w:rPr/>
        <w:t xml:space="preserve"> the standard exists in at least two other states in the United States. For recommendations concerning commercial clothes washers, the department must also consider the fiscal effects on the low-income, elderly, and student populations. Any recommendations shall be transmitted to the appropriate committees of the legislature sixty days before the start of any regular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070</w:t>
      </w:r>
      <w:r>
        <w:rPr/>
        <w:t xml:space="preserve"> and 2005 c 298 s 7 are each amended to read as follows:</w:t>
      </w:r>
    </w:p>
    <w:p>
      <w:pPr>
        <w:spacing w:before="0" w:after="0" w:line="408" w:lineRule="exact"/>
        <w:ind w:left="0" w:right="0" w:firstLine="576"/>
        <w:jc w:val="left"/>
      </w:pPr>
      <w:r>
        <w:rPr/>
        <w:t xml:space="preserve">(1) The manufacturers of products covered by this chapter must test samples of their products in accordance with the test procedures under this chapter or those specified in the state building code.</w:t>
      </w:r>
    </w:p>
    <w:p>
      <w:pPr>
        <w:spacing w:before="0" w:after="0" w:line="408" w:lineRule="exact"/>
        <w:ind w:left="0" w:right="0" w:firstLine="576"/>
        <w:jc w:val="left"/>
      </w:pPr>
      <w:r>
        <w:rPr/>
        <w:t xml:space="preserve">(2) Manufacturers of new products covered by RCW 19.260.030</w:t>
      </w:r>
      <w:r>
        <w:t>((</w:t>
      </w:r>
      <w:r>
        <w:rPr>
          <w:strike/>
        </w:rPr>
        <w:t xml:space="preserve">, except for single-voltage external AC to DC power supplies,</w:t>
      </w:r>
      <w:r>
        <w:t>))</w:t>
      </w:r>
      <w:r>
        <w:rPr/>
        <w:t xml:space="preserve"> shall certify to the department that the products are in compliance with this chapter. This certification must be based on test results unless this chapter does not specify a test method. The department shall establish rules governing the certification of these products and may coordinate with the certification programs of other states and federal agencies with similar standards.</w:t>
      </w:r>
    </w:p>
    <w:p>
      <w:pPr>
        <w:spacing w:before="0" w:after="0" w:line="408" w:lineRule="exact"/>
        <w:ind w:left="0" w:right="0" w:firstLine="576"/>
        <w:jc w:val="left"/>
      </w:pPr>
      <w:r>
        <w:rPr/>
        <w:t xml:space="preserve">(3) Manufacturers of new products covered by RCW 19.260.030 shall identify each product offered for sale or installation in the state as in compliance with this chapter by means of a mark, label, or tag on the product and packaging at the time of sale or installation. The department shall establish rules governing the identification of these products and packaging, which shall be coordinated to the greatest practical extent with the labeling programs of other states and federal agencies with equivalent efficiency standards.</w:t>
      </w:r>
    </w:p>
    <w:p>
      <w:pPr>
        <w:spacing w:before="0" w:after="0" w:line="408" w:lineRule="exact"/>
        <w:ind w:left="0" w:right="0" w:firstLine="576"/>
        <w:jc w:val="left"/>
      </w:pPr>
      <w:r>
        <w:rPr/>
        <w:t xml:space="preserve">(4) The department may test products covered by RCW 19.260.030. If products so tested are found not to be in compliance with the minimum efficiency standards established under RCW 19.260.040, the department shall: (a) Charge the manufacturer of the product for the cost of product purchase and testing; and (b) make information available to the public on products found not to be in compliance with the standards.</w:t>
      </w:r>
    </w:p>
    <w:p>
      <w:pPr>
        <w:spacing w:before="0" w:after="0" w:line="408" w:lineRule="exact"/>
        <w:ind w:left="0" w:right="0" w:firstLine="576"/>
        <w:jc w:val="left"/>
      </w:pPr>
      <w:r>
        <w:rPr/>
        <w:t xml:space="preserve">(5) The department shall obtain in paper form the test methods specified in RCW 19.260.040, which shall be available for public use at the department's energy policy offices.</w:t>
      </w:r>
    </w:p>
    <w:p>
      <w:pPr>
        <w:spacing w:before="0" w:after="0" w:line="408" w:lineRule="exact"/>
        <w:ind w:left="0" w:right="0" w:firstLine="576"/>
        <w:jc w:val="left"/>
      </w:pPr>
      <w:r>
        <w:rPr/>
        <w:t xml:space="preserve">(6) The department shall investigate complaints received concerning violations of this chapter. Any manufacturer or distributor who violates this chapter shall be issued a warning by the director of the department for any first violation. Repeat violations are subject to a civil penalty of not more than two hundred fifty dollars a day. Penalties assessed under this subsection are in addition to costs assessed under subsection (4) of this section.</w:t>
      </w:r>
    </w:p>
    <w:p>
      <w:pPr>
        <w:spacing w:before="0" w:after="0" w:line="408" w:lineRule="exact"/>
        <w:ind w:left="0" w:right="0" w:firstLine="576"/>
        <w:jc w:val="left"/>
      </w:pPr>
      <w:r>
        <w:rPr/>
        <w:t xml:space="preserve">(7) The department may adopt rules as necessary to ensure the proper implementation and enforcement of this chapter.</w:t>
      </w:r>
    </w:p>
    <w:p>
      <w:pPr>
        <w:spacing w:before="0" w:after="0" w:line="408" w:lineRule="exact"/>
        <w:ind w:left="0" w:right="0" w:firstLine="576"/>
        <w:jc w:val="left"/>
      </w:pPr>
      <w:r>
        <w:rPr/>
        <w:t xml:space="preserve">(8) The proceedings relating to this chapter are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(Water conservation performance standards</w:t>
      </w:r>
      <w:r>
        <w:rPr>
          <w:rFonts w:ascii="Times New Roman" w:hAnsi="Times New Roman"/>
        </w:rPr>
        <w:t xml:space="preserve">—</w:t>
      </w:r>
      <w:r>
        <w:rPr/>
        <w:t xml:space="preserve">Testing and identifying fixtures that meet standards</w:t>
      </w:r>
      <w:r>
        <w:rPr>
          <w:rFonts w:ascii="Times New Roman" w:hAnsi="Times New Roman"/>
        </w:rPr>
        <w:t xml:space="preserve">—</w:t>
      </w:r>
      <w:r>
        <w:rPr/>
        <w:t xml:space="preserve">Marking and labeling fixtures) and 1991 c 347 s 16 &amp; 1989 c 348 s 8 are each repealed.</w:t>
      </w:r>
    </w:p>
    <w:p/>
    <w:p>
      <w:pPr>
        <w:jc w:val="center"/>
      </w:pPr>
      <w:r>
        <w:rPr>
          <w:b/>
        </w:rPr>
        <w:t>--- END ---</w:t>
      </w:r>
    </w:p>
    <w:sectPr>
      <w:pgNumType w:start="1"/>
      <w:footerReference xmlns:r="http://schemas.openxmlformats.org/officeDocument/2006/relationships" r:id="Ra3ee15ce99104d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316cc3180e403b" /><Relationship Type="http://schemas.openxmlformats.org/officeDocument/2006/relationships/footer" Target="/word/footer.xml" Id="Ra3ee15ce99104df6" /></Relationships>
</file>