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b140ae7dfa484c" /></Relationships>
</file>

<file path=word/document.xml><?xml version="1.0" encoding="utf-8"?>
<w:document xmlns:w="http://schemas.openxmlformats.org/wordprocessingml/2006/main">
  <w:body>
    <w:p>
      <w:r>
        <w:t>H-3087.1</w:t>
      </w:r>
    </w:p>
    <w:p>
      <w:pPr>
        <w:jc w:val="center"/>
      </w:pPr>
      <w:r>
        <w:t>_______________________________________________</w:t>
      </w:r>
    </w:p>
    <w:p/>
    <w:p>
      <w:pPr>
        <w:jc w:val="center"/>
      </w:pPr>
      <w:r>
        <w:rPr>
          <w:b/>
        </w:rPr>
        <w:t>HOUSE BILL 2335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Sawyer and Condotta</w:t>
      </w:r>
    </w:p>
    <w:p/>
    <w:p>
      <w:r>
        <w:rPr>
          <w:t xml:space="preserve">Prefiled 12/28/17.</w:t>
        </w:rPr>
      </w:r>
      <w:r>
        <w:rPr>
          <w:t xml:space="preserve">Read first time 01/08/18.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practices by marijuana retailers that may mislead the public as to the ownership of a retailer; and amending RCW 69.50.369 and 69.50.342.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state liquor and cannabis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state liquor and cannabis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state liquor and cannabis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0" w:after="0" w:line="408" w:lineRule="exact"/>
        <w:ind w:left="0" w:right="0" w:firstLine="576"/>
        <w:jc w:val="left"/>
      </w:pPr>
      <w:r>
        <w:rPr>
          <w:u w:val="single"/>
        </w:rPr>
        <w:t xml:space="preserve">(12)(a) A marijuana retailer may not advertise or represent itself to the public in a manner that would cause a reasonable person to believe the marijuana retailer is under common ownership with, or otherwise affiliated with, another marijuana retailer or retailers, unless all of the retailers are under common ownership.</w:t>
      </w:r>
    </w:p>
    <w:p>
      <w:pPr>
        <w:spacing w:before="0" w:after="0" w:line="408" w:lineRule="exact"/>
        <w:ind w:left="0" w:right="0" w:firstLine="576"/>
        <w:jc w:val="left"/>
      </w:pPr>
      <w:r>
        <w:rPr>
          <w:u w:val="single"/>
        </w:rPr>
        <w:t xml:space="preserve">(b) For purposes of this subsection (12), "common ownership" means having at least one person with an ownership interest in all of the marijuana retailers in the advertisement or commercial representation.</w:t>
      </w:r>
    </w:p>
    <w:p>
      <w:pPr>
        <w:spacing w:before="0" w:after="0" w:line="408" w:lineRule="exact"/>
        <w:ind w:left="0" w:right="0" w:firstLine="576"/>
        <w:jc w:val="left"/>
      </w:pPr>
      <w:r>
        <w:rPr>
          <w:u w:val="single"/>
        </w:rPr>
        <w:t xml:space="preserve">(c) This subsection (12) does not prohibit:</w:t>
      </w:r>
    </w:p>
    <w:p>
      <w:pPr>
        <w:spacing w:before="0" w:after="0" w:line="408" w:lineRule="exact"/>
        <w:ind w:left="0" w:right="0" w:firstLine="576"/>
        <w:jc w:val="left"/>
      </w:pPr>
      <w:r>
        <w:rPr>
          <w:u w:val="single"/>
        </w:rPr>
        <w:t xml:space="preserve">(i) Multiple marijuana retailers with different business or trade names and different owners from acting as a group for the purpose of making group purchases of marijuana products from a marijuana processor; or</w:t>
      </w:r>
    </w:p>
    <w:p>
      <w:pPr>
        <w:spacing w:before="0" w:after="0" w:line="408" w:lineRule="exact"/>
        <w:ind w:left="0" w:right="0" w:firstLine="576"/>
        <w:jc w:val="left"/>
      </w:pPr>
      <w:r>
        <w:rPr>
          <w:u w:val="single"/>
        </w:rPr>
        <w:t xml:space="preserve">(ii) A marijuana retailer from advertising or representing to the public the retailer's membership in a trade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r>
        <w:rPr>
          <w:u w:val="single"/>
        </w:rPr>
        <w:t xml:space="preserve">; and</w:t>
      </w:r>
    </w:p>
    <w:p>
      <w:pPr>
        <w:spacing w:before="0" w:after="0" w:line="408" w:lineRule="exact"/>
        <w:ind w:left="0" w:right="0" w:firstLine="576"/>
        <w:jc w:val="left"/>
      </w:pPr>
      <w:r>
        <w:rPr>
          <w:u w:val="single"/>
        </w:rPr>
        <w:t xml:space="preserve">(m) Civil penalties for a violation or violations of RCW 69.50.369(12), and types of advertising methods and business practices prohibited by RCW 69.50.369(12)</w:t>
      </w:r>
      <w:r>
        <w:rPr/>
        <w:t xml:space="preserve">.</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
      <w:pPr>
        <w:jc w:val="center"/>
      </w:pPr>
      <w:r>
        <w:rPr>
          <w:b/>
        </w:rPr>
        <w:t>--- END ---</w:t>
      </w:r>
    </w:p>
    <w:sectPr>
      <w:pgNumType w:start="1"/>
      <w:footerReference xmlns:r="http://schemas.openxmlformats.org/officeDocument/2006/relationships" r:id="R04bc72c404464b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a658bd48964fc1" /><Relationship Type="http://schemas.openxmlformats.org/officeDocument/2006/relationships/footer" Target="/word/footer.xml" Id="R04bc72c404464bc6" /></Relationships>
</file>