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a091daa10245af" /></Relationships>
</file>

<file path=word/document.xml><?xml version="1.0" encoding="utf-8"?>
<w:document xmlns:w="http://schemas.openxmlformats.org/wordprocessingml/2006/main">
  <w:body>
    <w:p>
      <w:r>
        <w:t>Z-0617.1</w:t>
      </w:r>
    </w:p>
    <w:p>
      <w:pPr>
        <w:jc w:val="center"/>
      </w:pPr>
      <w:r>
        <w:t>_______________________________________________</w:t>
      </w:r>
    </w:p>
    <w:p/>
    <w:p>
      <w:pPr>
        <w:jc w:val="center"/>
      </w:pPr>
      <w:r>
        <w:rPr>
          <w:b/>
        </w:rPr>
        <w:t>HOUSE BILL 2343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Valdez, Harris, Jinkins, Tharinger, Muri, Goodman, Pellicciotti, Reeves, Macri, Appleton, and Doglio; by request of Department of Social and Health Services</w:t>
      </w:r>
    </w:p>
    <w:p/>
    <w:p>
      <w:r>
        <w:rPr>
          <w:t xml:space="preserve">Prefiled 12/29/17.</w:t>
        </w:rPr>
      </w:r>
      <w:r>
        <w:rPr>
          <w:t xml:space="preserve">Read first time 01/08/18.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willful in chapter 74.34 RCW regarding abuse of vulnerable adults; and reenacting and amending RCW 74.34.020.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2017 c 268 s 2 and 2017 c 266 s 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0" w:after="0" w:line="408" w:lineRule="exact"/>
        <w:ind w:left="0" w:right="0" w:firstLine="576"/>
        <w:jc w:val="left"/>
      </w:pPr>
      <w:r>
        <w:rPr>
          <w:u w:val="single"/>
        </w:rPr>
        <w:t xml:space="preserve">(24) "Willful" means that the individual must have acted deliberately, not that the individual must have intended to inflict injury or harm.</w:t>
      </w:r>
    </w:p>
    <w:p/>
    <w:p>
      <w:pPr>
        <w:jc w:val="center"/>
      </w:pPr>
      <w:r>
        <w:rPr>
          <w:b/>
        </w:rPr>
        <w:t>--- END ---</w:t>
      </w:r>
    </w:p>
    <w:sectPr>
      <w:pgNumType w:start="1"/>
      <w:footerReference xmlns:r="http://schemas.openxmlformats.org/officeDocument/2006/relationships" r:id="R459db19afb5140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76674a72e044a0" /><Relationship Type="http://schemas.openxmlformats.org/officeDocument/2006/relationships/footer" Target="/word/footer.xml" Id="R459db19afb514018" /></Relationships>
</file>