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78c24766a9455a" /></Relationships>
</file>

<file path=word/document.xml><?xml version="1.0" encoding="utf-8"?>
<w:document xmlns:w="http://schemas.openxmlformats.org/wordprocessingml/2006/main">
  <w:body>
    <w:p>
      <w:r>
        <w:t>H-3085.1</w:t>
      </w:r>
    </w:p>
    <w:p>
      <w:pPr>
        <w:jc w:val="center"/>
      </w:pPr>
      <w:r>
        <w:t>_______________________________________________</w:t>
      </w:r>
    </w:p>
    <w:p/>
    <w:p>
      <w:pPr>
        <w:jc w:val="center"/>
      </w:pPr>
      <w:r>
        <w:rPr>
          <w:b/>
        </w:rPr>
        <w:t>HOUSE BILL 2387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Tarleton, and Young</w:t>
      </w:r>
    </w:p>
    <w:p/>
    <w:p>
      <w:r>
        <w:rPr>
          <w:t xml:space="preserve">Prefiled 01/04/18.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election audits of ballot counting equipment; and amending RCW 29A.60.170.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2011 c 10 s 55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w:t>
      </w:r>
      <w:r>
        <w:t>((</w:t>
      </w:r>
      <w:r>
        <w:rPr>
          <w:strike/>
        </w:rPr>
        <w:t xml:space="preserve">may</w:t>
      </w:r>
      <w:r>
        <w:t>))</w:t>
      </w:r>
      <w:r>
        <w:rPr/>
        <w:t xml:space="preserve"> </w:t>
      </w:r>
      <w:r>
        <w:rPr>
          <w:u w:val="single"/>
        </w:rPr>
        <w:t xml:space="preserve">must</w:t>
      </w:r>
      <w:r>
        <w:rPr/>
        <w:t xml:space="preserve"> be conducted </w:t>
      </w:r>
      <w:r>
        <w:t>((</w:t>
      </w:r>
      <w:r>
        <w:rPr>
          <w:strike/>
        </w:rPr>
        <w:t xml:space="preserve">upon mutual agreement of the political party observers or at the discretion of the county auditor</w:t>
      </w:r>
      <w:r>
        <w:t>))</w:t>
      </w:r>
      <w:r>
        <w:rPr/>
        <w:t xml:space="preserve">. The random check procedures must be adopted by the county canvassing board prior to the processing of ballots. The random check process shall involve a comparison of a manual count to the machine count and </w:t>
      </w:r>
      <w:r>
        <w:t>((</w:t>
      </w:r>
      <w:r>
        <w:rPr>
          <w:strike/>
        </w:rPr>
        <w:t xml:space="preserve">may involve</w:t>
      </w:r>
      <w:r>
        <w:t>))</w:t>
      </w:r>
      <w:r>
        <w:rPr/>
        <w:t xml:space="preserve"> </w:t>
      </w:r>
      <w:r>
        <w:rPr>
          <w:u w:val="single"/>
        </w:rPr>
        <w:t xml:space="preserve">must include</w:t>
      </w:r>
      <w:r>
        <w:rPr/>
        <w:t xml:space="preser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w:t>
      </w:r>
      <w:r>
        <w:t>((</w:t>
      </w:r>
      <w:r>
        <w:rPr>
          <w:strike/>
        </w:rPr>
        <w:t xml:space="preserve">and</w:t>
      </w:r>
      <w:r>
        <w:t>))</w:t>
      </w:r>
      <w:r>
        <w:rPr>
          <w:u w:val="single"/>
        </w:rPr>
        <w:t xml:space="preserve">. The random check procedures must include a process for expanding the audit to include additional ballots when a random check conducted under this section results in a discrepancy between the manual count and the machine count. The procedure must specify under what circumstances a discrepancy will lead to an audit of additional ballots, and the method to determine how many additional ballots will be selected. T</w:t>
      </w:r>
      <w:r>
        <w:rPr/>
        <w:t xml:space="preserve">he check must be completed no later than forty-eight hours after election day.</w:t>
      </w:r>
    </w:p>
    <w:p/>
    <w:p>
      <w:pPr>
        <w:jc w:val="center"/>
      </w:pPr>
      <w:r>
        <w:rPr>
          <w:b/>
        </w:rPr>
        <w:t>--- END ---</w:t>
      </w:r>
    </w:p>
    <w:sectPr>
      <w:pgNumType w:start="1"/>
      <w:footerReference xmlns:r="http://schemas.openxmlformats.org/officeDocument/2006/relationships" r:id="R6d06be2994414c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c685b0e484813" /><Relationship Type="http://schemas.openxmlformats.org/officeDocument/2006/relationships/footer" Target="/word/footer.xml" Id="R6d06be2994414c74" /></Relationships>
</file>