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e5caee9ea7439d" /></Relationships>
</file>

<file path=word/document.xml><?xml version="1.0" encoding="utf-8"?>
<w:document xmlns:w="http://schemas.openxmlformats.org/wordprocessingml/2006/main">
  <w:body>
    <w:p>
      <w:r>
        <w:t>H-4656.1</w:t>
      </w:r>
    </w:p>
    <w:p>
      <w:pPr>
        <w:jc w:val="center"/>
      </w:pPr>
      <w:r>
        <w:t>_______________________________________________</w:t>
      </w:r>
    </w:p>
    <w:p/>
    <w:p>
      <w:pPr>
        <w:jc w:val="center"/>
      </w:pPr>
      <w:r>
        <w:rPr>
          <w:b/>
        </w:rPr>
        <w:t>SECOND SUBSTITUTE HOUSE BILL 2390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Pollet, Haler, Tarleton, McBride, Peterson, Dolan, Frame, Valdez, Kilduff, Senn, Stanford, Kloba, Clibborn, Macri, Ryu, Doglio, Riccelli, and Gregerson)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medication at kindergarten through twelfth grade schools and higher education institutions; amending RCW 28A.210.260 and 28A.210.270; adding new sections to chapter 28A.210 RCW;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w:t>
      </w:r>
    </w:p>
    <w:p>
      <w:pPr>
        <w:spacing w:before="0" w:after="0" w:line="408" w:lineRule="exact"/>
        <w:ind w:left="0" w:right="0" w:firstLine="576"/>
        <w:jc w:val="left"/>
      </w:pPr>
      <w:r>
        <w:rPr/>
        <w:t xml:space="preserve">(b) In 2015, opioids, including prescription opioids, heroin, and fentanyl, killed more than thirty-three thousand people in the United States. In 2016, opioids killed six hundred ninety-four people in Washington and caused over one thousand four hundred hospitalizations for opioid overdose;</w:t>
      </w:r>
    </w:p>
    <w:p>
      <w:pPr>
        <w:spacing w:before="0" w:after="0" w:line="408" w:lineRule="exact"/>
        <w:ind w:left="0" w:right="0" w:firstLine="576"/>
        <w:jc w:val="left"/>
      </w:pPr>
      <w:r>
        <w:rPr/>
        <w:t xml:space="preserve">(c) One way to prevent opioid overdose deaths is to expand access to and use of nonaddictive, opioid overdose medications, such as naloxone, that can reverse the effects of an opioid overdose when administered in time;</w:t>
      </w:r>
    </w:p>
    <w:p>
      <w:pPr>
        <w:spacing w:before="0" w:after="0" w:line="408" w:lineRule="exact"/>
        <w:ind w:left="0" w:right="0" w:firstLine="576"/>
        <w:jc w:val="left"/>
      </w:pPr>
      <w:r>
        <w:rPr/>
        <w:t xml:space="preserve">(d) The centers for disease control and prevention indicates that access to naloxone can be expanded through: Standing orders at pharmacies; distribution through local, community-based organizations; access to and use by law enforcement officials; and training for basic emergency medical service staff on how to administer the drug;</w:t>
      </w:r>
    </w:p>
    <w:p>
      <w:pPr>
        <w:spacing w:before="0" w:after="0" w:line="408" w:lineRule="exact"/>
        <w:ind w:left="0" w:right="0" w:firstLine="576"/>
        <w:jc w:val="left"/>
      </w:pPr>
      <w:r>
        <w:rPr/>
        <w:t xml:space="preserve">(e) In 2016, syringe service programs in Washington distributed three thousand six hundred forty naloxone kits and reported six hundred ninety overdose reversals; and</w:t>
      </w:r>
    </w:p>
    <w:p>
      <w:pPr>
        <w:spacing w:before="0" w:after="0" w:line="408" w:lineRule="exact"/>
        <w:ind w:left="0" w:right="0" w:firstLine="576"/>
        <w:jc w:val="left"/>
      </w:pPr>
      <w:r>
        <w:rPr/>
        <w:t xml:space="preserve">(f) It is unknown: How many opioid overdose incidents occur on the property of kindergarten through twelfth grade schools and higher education institutions each year; whether these schools and institutions maintain opioid overdose medication through a standing order for the purpose of assisting a person at risk of experiencing an opioid-related overdose; or whether these schools and institutions train staff to administer opioid overdose medication.</w:t>
      </w:r>
    </w:p>
    <w:p>
      <w:pPr>
        <w:spacing w:before="0" w:after="0" w:line="408" w:lineRule="exact"/>
        <w:ind w:left="0" w:right="0" w:firstLine="576"/>
        <w:jc w:val="left"/>
      </w:pPr>
      <w:r>
        <w:rPr/>
        <w:t xml:space="preserve">(2) The legislature recognizes that it has taken steps to respond to the opioid overdose epidemic, including: (a) Permitting health care practitioners to administer, prescribe, and dispense opioid overdose medication to any person who may be present at an overdose; (b) permitting people who may be present at an opioid overdose to possess and administer opioid overdose medication prescribed by an authorized health care practitioner; (c) limiting the liability of practitioners, pharmacists, and other people who possess and administer naloxone; and (d) limiting the liability of people experiencing a drug-related overdose who are in need of medical assistance and people acting in good faith to seek medical assistance for someone experiencing a drug-related overdose. </w:t>
      </w:r>
    </w:p>
    <w:p>
      <w:pPr>
        <w:spacing w:before="0" w:after="0" w:line="408" w:lineRule="exact"/>
        <w:ind w:left="0" w:right="0" w:firstLine="576"/>
        <w:jc w:val="left"/>
      </w:pPr>
      <w:r>
        <w:rPr/>
        <w:t xml:space="preserve">(3) Using its general police power to prescribe laws tending to promote the health and welfare of the people of the state, the legislature intends to increase access to opioid overdose medication at kindergarten through twelfth grade schools and higher education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(c) "School" means a public school, school district, or educational service district with any of grades kindergarten through twelve; and</w:t>
      </w:r>
    </w:p>
    <w:p>
      <w:pPr>
        <w:spacing w:before="0" w:after="0" w:line="408" w:lineRule="exact"/>
        <w:ind w:left="0" w:right="0" w:firstLine="576"/>
        <w:jc w:val="left"/>
      </w:pPr>
      <w:r>
        <w:rPr/>
        <w:t xml:space="preserve">(d) "Standing order" has the meaning provided in RCW 69.41.095.</w:t>
      </w:r>
    </w:p>
    <w:p>
      <w:pPr>
        <w:spacing w:before="0" w:after="0" w:line="408" w:lineRule="exact"/>
        <w:ind w:left="0" w:right="0" w:firstLine="576"/>
        <w:jc w:val="left"/>
      </w:pPr>
      <w:r>
        <w:rPr/>
        <w:t xml:space="preserve">(2)(a)(i) For the purpose of assisting a person at risk of experiencing an opioid-related overdose, a school may obtain and maintain opioid overdose medication through a standing order prescribed and dispensed in accordance with RCW 69.41.095.</w:t>
      </w:r>
    </w:p>
    <w:p>
      <w:pPr>
        <w:spacing w:before="0" w:after="0" w:line="408" w:lineRule="exact"/>
        <w:ind w:left="0" w:right="0" w:firstLine="576"/>
        <w:jc w:val="left"/>
      </w:pPr>
      <w:r>
        <w:rPr/>
        <w:t xml:space="preserve">(ii) Each high school is encouraged to obtain and maintain at least one set of opioid overdose medication doses.</w:t>
      </w:r>
    </w:p>
    <w:p>
      <w:pPr>
        <w:spacing w:before="0" w:after="0" w:line="408" w:lineRule="exact"/>
        <w:ind w:left="0" w:right="0" w:firstLine="576"/>
        <w:jc w:val="left"/>
      </w:pPr>
      <w:r>
        <w:rPr/>
        <w:t xml:space="preserve">(b) Opioid overdose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(3)(a) The following personnel may distribute or administer the school-owned opioid overdose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medication under this section must meet the requirements for training described in section 3 of this act and any rules or guidelines for such training adopted by the office of the superintendent of public instruction. Each high school is encouraged to designate and train at least one school personnel to distribute and administer opioid overdose medication if the high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the 2018-19 school year, the office of the superintendent of public instruction, in consultation with the department of health,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medication on school property issued through a standing order in accordance with section 2 of this act; the distribution and administration of opioid overdose medication by designated trained school personnel; and sample standing orders for opioid overdose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medications that are based on input from relevant health agencies or experts; and allow for opioid-related overdose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 Beginning January 1, 2019, the following school districts must adopt a policy that meets the requirements of subsection (2) of this section: (a) School districts with a school that obtains, maintains, distributes, or administers opioid overdose medication under section 2 of this act; and (b) school districts with two thousand or more students.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with any of grades kindergarten through twelve and public higher education institutions to train personnel on the administration of opioid overdose medication to respond to symptoms of an opioid-related overdose. The office must publish on its web site a list of annual grant recipients, including award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2017 c 186 s 2 are each amended to read as follows:</w:t>
      </w:r>
    </w:p>
    <w:p>
      <w:pPr>
        <w:spacing w:before="0" w:after="0" w:line="408" w:lineRule="exact"/>
        <w:ind w:left="0" w:right="0" w:firstLine="576"/>
        <w:jc w:val="left"/>
      </w:pPr>
      <w:r>
        <w:rPr>
          <w:u w:val="single"/>
        </w:rPr>
        <w:t xml:space="preserve">(1)</w:t>
      </w:r>
      <w:r>
        <w:rPr/>
        <w:t xml:space="preserve">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board of directors shall seek advice from one or more licensed physicians or nurses in the course of developing the foregoing policies;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public school district or the private school is in receipt of </w:t>
      </w:r>
      <w:r>
        <w:t>((</w:t>
      </w:r>
      <w:r>
        <w:rPr>
          <w:strike/>
        </w:rPr>
        <w:t xml:space="preserve">(a)</w:t>
      </w:r>
      <w:r>
        <w:t>))</w:t>
      </w:r>
      <w:r>
        <w:rPr>
          <w:u w:val="single"/>
        </w:rPr>
        <w:t xml:space="preserve">: (i) A</w:t>
      </w:r>
      <w:r>
        <w:rPr/>
        <w:t xml:space="preserve">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w:t>
      </w:r>
      <w:r>
        <w:t>((</w:t>
      </w:r>
      <w:r>
        <w:rPr>
          <w:strike/>
        </w:rPr>
        <w:t xml:space="preserve">,</w:t>
      </w:r>
      <w:r>
        <w:t>))</w:t>
      </w:r>
      <w:r>
        <w:rPr>
          <w:u w:val="single"/>
        </w:rPr>
        <w:t xml:space="preserve">;</w:t>
      </w:r>
      <w:r>
        <w:rPr/>
        <w:t xml:space="preserve"> and </w:t>
      </w:r>
      <w:r>
        <w:t>((</w:t>
      </w:r>
      <w:r>
        <w:rPr>
          <w:strike/>
        </w:rPr>
        <w:t xml:space="preserve">(b)</w:t>
      </w:r>
      <w:r>
        <w:t>))</w:t>
      </w:r>
      <w:r>
        <w:rPr/>
        <w:t xml:space="preserve"> </w:t>
      </w:r>
      <w:r>
        <w:rPr>
          <w:u w:val="single"/>
        </w:rPr>
        <w:t xml:space="preserve">(ii)</w:t>
      </w:r>
      <w:r>
        <w:rPr/>
        <w:t xml:space="preserve">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medication is administered by an employee designated by or pursuant to the policies adopted pursuant to </w:t>
      </w:r>
      <w:r>
        <w:rPr>
          <w:u w:val="single"/>
        </w:rPr>
        <w:t xml:space="preserve">(a) of this</w:t>
      </w:r>
      <w:r>
        <w:rPr/>
        <w:t xml:space="preserve"> subsection </w:t>
      </w:r>
      <w:r>
        <w:t>((</w:t>
      </w:r>
      <w:r>
        <w:rPr>
          <w:strike/>
        </w:rPr>
        <w:t xml:space="preserve">(1) of this section</w:t>
      </w:r>
      <w:r>
        <w:t>))</w:t>
      </w:r>
      <w:r>
        <w:rPr/>
        <w:t xml:space="preserve"> and in substantial compliance with the prescription of a licensed health professional prescribing within the scope of his or her prescriptive authority or the written instructions provided pursuant to </w:t>
      </w:r>
      <w:r>
        <w:rPr>
          <w:u w:val="single"/>
        </w:rPr>
        <w:t xml:space="preserve">(d) of this</w:t>
      </w:r>
      <w:r>
        <w:rPr/>
        <w:t xml:space="preserve"> subsection </w:t>
      </w:r>
      <w:r>
        <w:t>((</w:t>
      </w:r>
      <w:r>
        <w:rPr>
          <w:strike/>
        </w:rPr>
        <w:t xml:space="preserve">(4) of this section</w:t>
      </w:r>
      <w:r>
        <w:t>))</w:t>
      </w:r>
      <w:r>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t>((</w:t>
      </w:r>
      <w:r>
        <w:rPr>
          <w:strike/>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strike/>
        </w:rPr>
        <w:t xml:space="preserve">(b)</w:t>
      </w:r>
      <w:r>
        <w:t>))</w:t>
      </w:r>
      <w:r>
        <w:rPr/>
        <w:t xml:space="preserve"> </w:t>
      </w:r>
      <w:r>
        <w:rPr>
          <w:u w:val="single"/>
        </w:rPr>
        <w:t xml:space="preserve">(h)</w:t>
      </w:r>
      <w:r>
        <w:rPr/>
        <w:t xml:space="preserve">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subsection </w:t>
      </w:r>
      <w:r>
        <w:t>((</w:t>
      </w:r>
      <w:r>
        <w:rPr>
          <w:strike/>
        </w:rPr>
        <w:t xml:space="preserve">(8)(a)</w:t>
      </w:r>
      <w:r>
        <w:t>))</w:t>
      </w:r>
      <w:r>
        <w:rPr/>
        <w:t xml:space="preserve"> </w:t>
      </w:r>
      <w:r>
        <w:rPr>
          <w:u w:val="single"/>
        </w:rPr>
        <w:t xml:space="preserve">(2)</w:t>
      </w:r>
      <w:r>
        <w:rPr/>
        <w:t xml:space="preserve"> of this section for the additional care the parents have authorized the parent-designated adult to provide. The professional person designated under this subsection is not responsible for the supervision of the parent-designated adult for those procedures that are authorized by the parents;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This section does not apply to topical sunscreen products regulated by the United States food and drug administration for over-the-counter use. Provisions related to possession and application of topical sunscreen products are in RCW 28A.210.278</w:t>
      </w:r>
      <w:r>
        <w:rPr>
          <w:u w:val="single"/>
        </w:rPr>
        <w:t xml:space="preserve">; and</w:t>
      </w:r>
    </w:p>
    <w:p>
      <w:pPr>
        <w:spacing w:before="0" w:after="0" w:line="408" w:lineRule="exact"/>
        <w:ind w:left="0" w:right="0" w:firstLine="576"/>
        <w:jc w:val="left"/>
      </w:pPr>
      <w:r>
        <w:rPr>
          <w:u w:val="single"/>
        </w:rPr>
        <w:t xml:space="preserve">(k) This section does not apply to opioid overdose medication. Provisions related to maintenance and administration of opioid overdose medication are in section 2 of this act</w:t>
      </w:r>
      <w:r>
        <w:rPr/>
        <w:t xml:space="preserve">.</w:t>
      </w:r>
    </w:p>
    <w:p>
      <w:pPr>
        <w:spacing w:before="0" w:after="0" w:line="408" w:lineRule="exact"/>
        <w:ind w:left="0" w:right="0" w:firstLine="576"/>
        <w:jc w:val="left"/>
      </w:pPr>
      <w:r>
        <w:rPr>
          <w:u w:val="single"/>
        </w:rPr>
        <w:t xml:space="preserve">(2)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270</w:t>
      </w:r>
      <w:r>
        <w:rPr/>
        <w:t xml:space="preserve"> and 2013 c 180 s 2 are each amended to read as follows:</w:t>
      </w:r>
    </w:p>
    <w:p>
      <w:pPr>
        <w:spacing w:before="0" w:after="0" w:line="408" w:lineRule="exact"/>
        <w:ind w:left="0" w:right="0" w:firstLine="576"/>
        <w:jc w:val="left"/>
      </w:pPr>
      <w:r>
        <w:rPr/>
        <w:t xml:space="preserve">(1) In the event a school employee administers oral medication, topical medication, eye drops, ear drops, or nasal spray to a student pursuant to RCW 28A.210.260 in substantial compliance with the prescription of the student's licensed health professional prescribing within the scope of the professional's prescriptive authority or the written instructions provided pursuant to RCW 28A.210.260</w:t>
      </w:r>
      <w:r>
        <w:t>((</w:t>
      </w:r>
      <w:r>
        <w:rPr>
          <w:strike/>
        </w:rPr>
        <w:t xml:space="preserve">(4)</w:t>
      </w:r>
      <w:r>
        <w:t>))</w:t>
      </w:r>
      <w:r>
        <w:rPr/>
        <w:t xml:space="preserve"> </w:t>
      </w:r>
      <w:r>
        <w:rPr>
          <w:u w:val="single"/>
        </w:rPr>
        <w:t xml:space="preserve">(1)(d)</w:t>
      </w:r>
      <w:r>
        <w:rPr/>
        <w:t xml:space="preserve">, and the other conditions set forth in RCW 28A.210.260 have been substantially complied with, then the employee, the employee's school district or school of employment, and the members of the governing board and chief administrator thereof shall not be liable in any criminal action or for civil damages in their individual or marital or governmental or corporate or other capacities as a result of the administration of the medication.</w:t>
      </w:r>
    </w:p>
    <w:p>
      <w:pPr>
        <w:spacing w:before="0" w:after="0" w:line="408" w:lineRule="exact"/>
        <w:ind w:left="0" w:right="0" w:firstLine="576"/>
        <w:jc w:val="left"/>
      </w:pPr>
      <w:r>
        <w:rPr/>
        <w:t xml:space="preserve">(2) The administration of oral medication, topical medication, eye drops, ear drops, or nasal spray to any student pursuant to RCW 28A.210.260 may be discontinued by a public school district or private school and the school district or school, its employees, its chief administrator, and members of its governing board shall not be liable in any criminal action or for civil damages in their governmental or corporate or individual or marital or other capacities as a result of the discontinuance of such administration: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 By the beginning of the 2018-19 academic year, a public institution of higher education with a residence hall housing at least one hundred students must develop a plan: (a) For the maintenance and administration of opioid overdose medication in and around the residence hall; and (b) for the training of designated personnel to administer opioid overdose medication to respond to symptoms of an opioid-related overdose. The plan may identify: The ratio of residents to opioid overdose medication doses; the designated trained personnel, who may include residence hall advisers; and whether the designated trained personnel covers more than one residence hall.</w:t>
      </w:r>
    </w:p>
    <w:p/>
    <w:p>
      <w:pPr>
        <w:jc w:val="center"/>
      </w:pPr>
      <w:r>
        <w:rPr>
          <w:b/>
        </w:rPr>
        <w:t>--- END ---</w:t>
      </w:r>
    </w:p>
    <w:sectPr>
      <w:pgNumType w:start="1"/>
      <w:footerReference xmlns:r="http://schemas.openxmlformats.org/officeDocument/2006/relationships" r:id="R9d708654a5904e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bbabff3a7f436e" /><Relationship Type="http://schemas.openxmlformats.org/officeDocument/2006/relationships/footer" Target="/word/footer.xml" Id="R9d708654a5904e86" /></Relationships>
</file>