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06557b57214ff8" /></Relationships>
</file>

<file path=word/document.xml><?xml version="1.0" encoding="utf-8"?>
<w:document xmlns:w="http://schemas.openxmlformats.org/wordprocessingml/2006/main">
  <w:body>
    <w:p>
      <w:r>
        <w:t>Z-0758.1</w:t>
      </w:r>
    </w:p>
    <w:p>
      <w:pPr>
        <w:jc w:val="center"/>
      </w:pPr>
      <w:r>
        <w:t>_______________________________________________</w:t>
      </w:r>
    </w:p>
    <w:p/>
    <w:p>
      <w:pPr>
        <w:jc w:val="center"/>
      </w:pPr>
      <w:r>
        <w:rPr>
          <w:b/>
        </w:rPr>
        <w:t>HOUSE BILL 2394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Tharinger; by request of Office of Financial Management</w:t>
      </w:r>
    </w:p>
    <w:p/>
    <w:p>
      <w:r>
        <w:rPr>
          <w:t xml:space="preserve">Prefiled 01/05/18.</w:t>
        </w:rPr>
      </w:r>
      <w:r>
        <w:rPr>
          <w:t xml:space="preserve">Read first time 01/08/18.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43.99G.150 and 43.99G.170; adding a new section to chapter 43.99H RCW; adding a new section to chapter 28B.14H RCW; adding a new chapter to Title 43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nine hundred forty-five million eleven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seven hundred twenty million nine hundred twelve thousand dollars to remain in the state building construction account created by RCW 43.83.020;</w:t>
      </w:r>
    </w:p>
    <w:p>
      <w:pPr>
        <w:spacing w:before="0" w:after="0" w:line="408" w:lineRule="exact"/>
        <w:ind w:left="0" w:right="0" w:firstLine="576"/>
        <w:jc w:val="left"/>
      </w:pPr>
      <w:r>
        <w:rPr/>
        <w:t xml:space="preserve">(b) Two hundred twenty-four million ninety-nine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at various times and in various amounts necessary to support authorized expenditures from those accounts.</w:t>
      </w:r>
    </w:p>
    <w:p>
      <w:pPr>
        <w:spacing w:before="0" w:after="0" w:line="408" w:lineRule="exact"/>
        <w:ind w:left="0" w:right="0" w:firstLine="576"/>
        <w:jc w:val="left"/>
      </w:pPr>
      <w:r>
        <w:rPr/>
        <w:t xml:space="preserve">(d) The treasurer shall transfer bond proceeds deposited in the state taxable building construction account into the early learning facilities revolving account, at various times and in various amounts necessary to support authorized expenditures from that account.</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2(1) (a) through (d)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 of this act, and sections 2 and 3 of this act shall not be deemed to provide an exclusive method for the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a85139f9e934b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9bda1b06ef4842" /><Relationship Type="http://schemas.openxmlformats.org/officeDocument/2006/relationships/footer" Target="/word/footer.xml" Id="R1a85139f9e934b6c" /></Relationships>
</file>