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57a1fc50c346b2" /></Relationships>
</file>

<file path=word/document.xml><?xml version="1.0" encoding="utf-8"?>
<w:document xmlns:w="http://schemas.openxmlformats.org/wordprocessingml/2006/main">
  <w:body>
    <w:p>
      <w:r>
        <w:t>H-3522.3</w:t>
      </w:r>
    </w:p>
    <w:p>
      <w:pPr>
        <w:jc w:val="center"/>
      </w:pPr>
      <w:r>
        <w:t>_______________________________________________</w:t>
      </w:r>
    </w:p>
    <w:p/>
    <w:p>
      <w:pPr>
        <w:jc w:val="center"/>
      </w:pPr>
      <w:r>
        <w:rPr>
          <w:b/>
        </w:rPr>
        <w:t>HOUSE BILL 2444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Slatter, Robinson, McBride, Clibborn, Appleton, Tharinger, Kloba, Doglio, and Tarleton</w:t>
      </w:r>
    </w:p>
    <w:p/>
    <w:p>
      <w:r>
        <w:rPr>
          <w:t xml:space="preserve">Read first time 01/09/18.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real estate excise tax exemption for certain transfers of low-income housing; amending RCW 82.45.010;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 (q)(ii)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u w:val="single"/>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u w:val="single"/>
        </w:rPr>
        <w:t xml:space="preserve">(ii) For purposes of this subsection (3)(s), "qualified low-income housing development" means real property and improvements in respect to which the seller was allocated federal low-income housing tax credits authorized under 26 U.S.C. Sec. 42 or successor statute, by the Washington state housing finance commission or successor state-authorized tax credit allocating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with respect to transfers occurring before, on, or after the effective date of this section. However, this act may not be construed by the department of revenue, state board of tax appeals, or any court as authorizing the refund of any tax liability imposed or authorized under chapter 82.45 or 82.46 RCW and properly paid before the effective date of section 1 of this act with respect to a transfer of qualified low-income housing as defined in RCW 82.45.010(3)(s).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db81bff49f0d4e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93bdf447504724" /><Relationship Type="http://schemas.openxmlformats.org/officeDocument/2006/relationships/footer" Target="/word/footer.xml" Id="Rdb81bff49f0d4ed1" /></Relationships>
</file>