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10e4a27894cff" /></Relationships>
</file>

<file path=word/document.xml><?xml version="1.0" encoding="utf-8"?>
<w:document xmlns:w="http://schemas.openxmlformats.org/wordprocessingml/2006/main">
  <w:body>
    <w:p>
      <w:r>
        <w:t>H-3606.2</w:t>
      </w:r>
    </w:p>
    <w:p>
      <w:pPr>
        <w:jc w:val="center"/>
      </w:pPr>
      <w:r>
        <w:t>_______________________________________________</w:t>
      </w:r>
    </w:p>
    <w:p/>
    <w:p>
      <w:pPr>
        <w:jc w:val="center"/>
      </w:pPr>
      <w:r>
        <w:rPr>
          <w:b/>
        </w:rPr>
        <w:t>HOUSE BILL 2451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Senn, Kagi, Appleton, Tharinger, and Doglio</w:t>
      </w:r>
    </w:p>
    <w:p/>
    <w:p>
      <w:r>
        <w:rPr>
          <w:t xml:space="preserve">Read first time 01/09/18.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and amending RCW 71.24.061.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evidence-based practice institute shall implement a </w:t>
      </w:r>
      <w:r>
        <w:t>((</w:t>
      </w:r>
      <w:r>
        <w:rPr>
          <w:strike/>
        </w:rPr>
        <w:t xml:space="preserve">pilot</w:t>
      </w:r>
      <w:r>
        <w:t>))</w:t>
      </w:r>
      <w:r>
        <w:rPr/>
        <w:t xml:space="preserve"> program to</w:t>
      </w:r>
      <w:r>
        <w:rPr>
          <w:u w:val="single"/>
        </w:rPr>
        <w:t xml:space="preserve">:</w:t>
      </w:r>
    </w:p>
    <w:p>
      <w:pPr>
        <w:spacing w:before="0" w:after="0" w:line="408" w:lineRule="exact"/>
        <w:ind w:left="0" w:right="0" w:firstLine="576"/>
        <w:jc w:val="left"/>
      </w:pPr>
      <w:r>
        <w:rPr>
          <w:u w:val="single"/>
        </w:rPr>
        <w:t xml:space="preserve">(i) S</w:t>
      </w:r>
      <w:r>
        <w:rPr/>
        <w:t xml:space="preserve">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(ii)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(b)</w:t>
      </w:r>
      <w:r>
        <w:rPr/>
        <w:t xml:space="preserve"> The program </w:t>
      </w:r>
      <w:r>
        <w:rPr>
          <w:u w:val="single"/>
        </w:rPr>
        <w:t xml:space="preserve">activities described in (a)(i) and (ii)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
      <w:pPr>
        <w:jc w:val="center"/>
      </w:pPr>
      <w:r>
        <w:rPr>
          <w:b/>
        </w:rPr>
        <w:t>--- END ---</w:t>
      </w:r>
    </w:p>
    <w:sectPr>
      <w:pgNumType w:start="1"/>
      <w:footerReference xmlns:r="http://schemas.openxmlformats.org/officeDocument/2006/relationships" r:id="R1e7a04a6414b46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ac441d0ae4597" /><Relationship Type="http://schemas.openxmlformats.org/officeDocument/2006/relationships/footer" Target="/word/footer.xml" Id="R1e7a04a6414b467e" /></Relationships>
</file>