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22364cda64bc5" /></Relationships>
</file>

<file path=word/document.xml><?xml version="1.0" encoding="utf-8"?>
<w:document xmlns:w="http://schemas.openxmlformats.org/wordprocessingml/2006/main">
  <w:body>
    <w:p>
      <w:r>
        <w:t>H-3562.1</w:t>
      </w:r>
    </w:p>
    <w:p>
      <w:pPr>
        <w:jc w:val="center"/>
      </w:pPr>
      <w:r>
        <w:t>_______________________________________________</w:t>
      </w:r>
    </w:p>
    <w:p/>
    <w:p>
      <w:pPr>
        <w:jc w:val="center"/>
      </w:pPr>
      <w:r>
        <w:rPr>
          <w:b/>
        </w:rPr>
        <w:t>HOUSE BILL 2504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Hansen, Wylie, Slatter, Kloba, and Goodman</w:t>
      </w:r>
    </w:p>
    <w:p/>
    <w:p>
      <w:r>
        <w:rPr>
          <w:t xml:space="preserve">Read first time 01/10/18.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funding of the opportunity scholarship program a maintenance level item for budgeting purposes; amending RCW 28B.145.040;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opportunity scholarship program is essential in the state's investment in students entering high employer demand programs of study, especially in areas of science, technology, engineering, and mathematics. The legislature intends to ensure the predictable treatment of the opportunity scholarship program in the budget process by clarifying the calculation process of the state match required by RCW 28B.145.040. Nothing in this act is intended to require the caseload forecast council to calculate the state match or change in any way the responsibilities of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baccalaureate degrees in high employer demand and other programs of study and encourage them to remain in the state to work. The program must be designed for both students starting at two-year institutions of higher education and intending to transfer to four-year institutions of higher education and students starting at four-year institutions of higher education.</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w:t>
      </w:r>
      <w:r>
        <w:rPr>
          <w:u w:val="single"/>
        </w:rPr>
        <w:t xml:space="preserve">The state match must be based on donations and pledges received as of the date each official state caseload forecast is submitted by the caseload forecast council to the legislative fiscal committees, as provided under RCW 43.88C.020.</w:t>
      </w:r>
      <w:r>
        <w:rPr/>
        <w:t xml:space="preserve">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
      <w:pPr>
        <w:jc w:val="center"/>
      </w:pPr>
      <w:r>
        <w:rPr>
          <w:b/>
        </w:rPr>
        <w:t>--- END ---</w:t>
      </w:r>
    </w:p>
    <w:sectPr>
      <w:pgNumType w:start="1"/>
      <w:footerReference xmlns:r="http://schemas.openxmlformats.org/officeDocument/2006/relationships" r:id="Rc06c798287814a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d6173e97ff4edc" /><Relationship Type="http://schemas.openxmlformats.org/officeDocument/2006/relationships/footer" Target="/word/footer.xml" Id="Rc06c798287814a28" /></Relationships>
</file>