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622c018364c89" /></Relationships>
</file>

<file path=word/document.xml><?xml version="1.0" encoding="utf-8"?>
<w:document xmlns:w="http://schemas.openxmlformats.org/wordprocessingml/2006/main">
  <w:body>
    <w:p>
      <w:r>
        <w:t>H-4020.1</w:t>
      </w:r>
    </w:p>
    <w:p>
      <w:pPr>
        <w:jc w:val="center"/>
      </w:pPr>
      <w:r>
        <w:t>_______________________________________________</w:t>
      </w:r>
    </w:p>
    <w:p/>
    <w:p>
      <w:pPr>
        <w:jc w:val="center"/>
      </w:pPr>
      <w:r>
        <w:rPr>
          <w:b/>
        </w:rPr>
        <w:t>SUBSTITUTE HOUSE BILL 2515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Tharinger, Schmick, Cody, Johnson, Jinkins, Harris, Robinson, Wylie, Pollet,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medicaid payment methodology for contracted assisted living, adult residential care, and enhanced adult residential care; amending RCW 74.39A.030;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has done an exemplary service for its citizens by expanding long-term care options for home and community-based services. Thousands of vulnerable low-income adults and seniors that would otherwise be in nursing facilities are able to receive the care they need in their own home, an assisted living unit, or an adult family home located near their family and friends, religious groups or other affiliations, and the neighborhoods they are familiar with. The legislature also recognizes that within the next ten years, the number of Washingtonians age seventy-one and older will grow by approximately sixty-three percent and within the next twenty-three years, this population will be about one hundred twenty percent of what it is today. In order to maintain and grow the current level of cost-effective options for long-term care, it is critical to update state policies including provider payment rates to ensure the availability of enrolled providers is sufficient to serve the number of beneficiaries who wish to remain within geographic proximity to their home community.</w:t>
      </w:r>
    </w:p>
    <w:p>
      <w:pPr>
        <w:spacing w:before="0" w:after="0" w:line="408" w:lineRule="exact"/>
        <w:ind w:left="0" w:right="0" w:firstLine="576"/>
        <w:jc w:val="left"/>
      </w:pPr>
      <w:r>
        <w:rPr/>
        <w:t xml:space="preserve">(2) The legislature intends to replace the outdated payment system with a new methodology that is:</w:t>
      </w:r>
    </w:p>
    <w:p>
      <w:pPr>
        <w:spacing w:before="0" w:after="0" w:line="408" w:lineRule="exact"/>
        <w:ind w:left="0" w:right="0" w:firstLine="576"/>
        <w:jc w:val="left"/>
      </w:pPr>
      <w:r>
        <w:rPr/>
        <w:t xml:space="preserve">(a) Transparent and understandable to the providers and the public;</w:t>
      </w:r>
    </w:p>
    <w:p>
      <w:pPr>
        <w:spacing w:before="0" w:after="0" w:line="408" w:lineRule="exact"/>
        <w:ind w:left="0" w:right="0" w:firstLine="576"/>
        <w:jc w:val="left"/>
      </w:pPr>
      <w:r>
        <w:rPr/>
        <w:t xml:space="preserve">(b) Aligns payments to client acuity and contractual requirements; and</w:t>
      </w:r>
    </w:p>
    <w:p>
      <w:pPr>
        <w:spacing w:before="0" w:after="0" w:line="408" w:lineRule="exact"/>
        <w:ind w:left="0" w:right="0" w:firstLine="576"/>
        <w:jc w:val="left"/>
      </w:pPr>
      <w:r>
        <w:rPr/>
        <w:t xml:space="preserve">(c) Is supported by relevant, verifiable, and independent data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rPr>
          <w:u w:val="single"/>
        </w:rPr>
        <w:t xml:space="preserve">Beginning July 1, 2019, the department shall adopt a data-driven medicaid payment methodology as specified in section 3 of this act for contracted assisted living, adult residential care, and enhanced adult residential care.</w:t>
      </w:r>
      <w:r>
        <w:rPr/>
        <w:t xml:space="preserv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full implementation according to funding made available by the legislature for this purpose. The new payment system must have these components: Client care, operations, and room and board.</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occupational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30, 2018, the department of social and health services shall review physical plant contract requirements for each residential care setting and determine if adjustments to the room and board component are necessary in order to reflect the relative differences in costs related to shelter and food according to each setting. The department shall include in its review the average level of client resources available by populations served within each care setting and evaluate any impacts to the state general fund for lowering or raising the room and board standards according to each service setting's requirements.</w:t>
      </w:r>
    </w:p>
    <w:p/>
    <w:p>
      <w:pPr>
        <w:jc w:val="center"/>
      </w:pPr>
      <w:r>
        <w:rPr>
          <w:b/>
        </w:rPr>
        <w:t>--- END ---</w:t>
      </w:r>
    </w:p>
    <w:sectPr>
      <w:pgNumType w:start="1"/>
      <w:footerReference xmlns:r="http://schemas.openxmlformats.org/officeDocument/2006/relationships" r:id="Rfb7e628d9e9b43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78d04c9a84632" /><Relationship Type="http://schemas.openxmlformats.org/officeDocument/2006/relationships/footer" Target="/word/footer.xml" Id="Rfb7e628d9e9b43b7" /></Relationships>
</file>