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033784fe5474b" /></Relationships>
</file>

<file path=word/document.xml><?xml version="1.0" encoding="utf-8"?>
<w:document xmlns:w="http://schemas.openxmlformats.org/wordprocessingml/2006/main">
  <w:body>
    <w:p>
      <w:r>
        <w:t>H-3507.2</w:t>
      </w:r>
    </w:p>
    <w:p>
      <w:pPr>
        <w:jc w:val="center"/>
      </w:pPr>
      <w:r>
        <w:t>_______________________________________________</w:t>
      </w:r>
    </w:p>
    <w:p/>
    <w:p>
      <w:pPr>
        <w:jc w:val="center"/>
      </w:pPr>
      <w:r>
        <w:rPr>
          <w:b/>
        </w:rPr>
        <w:t>HOUSE BILL 2566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Schmick</w:t>
      </w:r>
    </w:p>
    <w:p/>
    <w:p>
      <w:r>
        <w:rPr>
          <w:t xml:space="preserve">Read first time 01/10/18.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medical marijuana authorization database; amending RCW 43.70.320, 69.50.540, and 69.51A.230;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2017 c 108 s 7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compact privileges,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w:t>
      </w:r>
      <w:r>
        <w:t>((</w:t>
      </w:r>
      <w:r>
        <w:rPr>
          <w:strike/>
        </w:rPr>
        <w:t xml:space="preserve">and implementing and administering the medical marijuana authorization database established in RCW 69.51A.230</w:t>
      </w:r>
      <w:r>
        <w:t>))</w:t>
      </w:r>
      <w:r>
        <w:rPr/>
        <w:t xml:space="preserve"> shall be paid from the account as authorized by legislative appropriation, except as provided in subsections (4) and (5)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The fees received by the department from applicants for compact privilege under RCW 18.74.500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t xml:space="preserve">(5)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w:t>
      </w:r>
      <w:r>
        <w:t>((</w:t>
      </w:r>
      <w:r>
        <w:rPr>
          <w:strike/>
        </w:rPr>
        <w:t xml:space="preserve">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r>
        <w:t>))</w:t>
      </w:r>
      <w:r>
        <w:rPr/>
        <w:t xml:space="preserve"> </w:t>
      </w:r>
      <w:r>
        <w:rPr>
          <w:u w:val="single"/>
        </w:rPr>
        <w:t xml:space="preserve">An amount not less than three hundred thousand dollars to the department of health to administer the medical marijuana authorization database established in RCW 69.51A.230, as appropriated in the omnibus appropriations act</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six million dollars in fiscal years 2018 and 2019 and twenty million dollars per fiscal year thereafter. 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six</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(10)(a)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w:t>
      </w:r>
      <w:r>
        <w:t>((</w:t>
      </w:r>
      <w:r>
        <w:rPr>
          <w:strike/>
        </w:rPr>
        <w:t xml:space="preserve">health professions</w:t>
      </w:r>
      <w:r>
        <w:t>))</w:t>
      </w:r>
      <w:r>
        <w:rPr/>
        <w:t xml:space="preserve"> </w:t>
      </w:r>
      <w:r>
        <w:rPr>
          <w:u w:val="single"/>
        </w:rPr>
        <w:t xml:space="preserve">dedicated marijuana</w:t>
      </w:r>
      <w:r>
        <w:rPr/>
        <w:t xml:space="preserve"> account created under RCW </w:t>
      </w:r>
      <w:r>
        <w:t>((</w:t>
      </w:r>
      <w:r>
        <w:rPr>
          <w:strike/>
        </w:rPr>
        <w:t xml:space="preserve">43.70.320</w:t>
      </w:r>
      <w:r>
        <w:t>))</w:t>
      </w:r>
      <w:r>
        <w:rPr/>
        <w:t xml:space="preserve"> </w:t>
      </w:r>
      <w:r>
        <w:rPr>
          <w:u w:val="single"/>
        </w:rPr>
        <w:t xml:space="preserve">69.50.530</w:t>
      </w:r>
      <w:r>
        <w:rPr/>
        <w:t xml:space="preserve">.</w:t>
      </w:r>
    </w:p>
    <w:p>
      <w:pPr>
        <w:spacing w:before="0" w:after="0" w:line="408" w:lineRule="exact"/>
        <w:ind w:left="0" w:right="0" w:firstLine="576"/>
        <w:jc w:val="left"/>
      </w:pPr>
      <w:r>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w:t>
      </w:r>
      <w:r>
        <w:t>((</w:t>
      </w:r>
      <w:r>
        <w:rPr>
          <w:strike/>
        </w:rPr>
        <w:t xml:space="preserve">[authorization]</w:t>
      </w:r>
      <w:r>
        <w:t>))</w:t>
      </w:r>
      <w:r>
        <w:rPr/>
        <w:t xml:space="preserve"> </w:t>
      </w:r>
      <w:r>
        <w:rPr>
          <w:u w:val="single"/>
        </w:rPr>
        <w:t xml:space="preserve">authorization</w:t>
      </w:r>
      <w:r>
        <w:rPr/>
        <w:t xml:space="preserve"> database. The report must also provide initial enrollment figures in the medical marijuana authorization database and estimates of expected future enrollment.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e1dda2759ab549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08e2be7de94a16" /><Relationship Type="http://schemas.openxmlformats.org/officeDocument/2006/relationships/footer" Target="/word/footer.xml" Id="Re1dda2759ab549dd" /></Relationships>
</file>