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9f1289f984c05" /></Relationships>
</file>

<file path=word/document.xml><?xml version="1.0" encoding="utf-8"?>
<w:document xmlns:w="http://schemas.openxmlformats.org/wordprocessingml/2006/main">
  <w:body>
    <w:p>
      <w:r>
        <w:t>H-3594.2</w:t>
      </w:r>
    </w:p>
    <w:p>
      <w:pPr>
        <w:jc w:val="center"/>
      </w:pPr>
      <w:r>
        <w:t>_______________________________________________</w:t>
      </w:r>
    </w:p>
    <w:p/>
    <w:p>
      <w:pPr>
        <w:jc w:val="center"/>
      </w:pPr>
      <w:r>
        <w:rPr>
          <w:b/>
        </w:rPr>
        <w:t>HOUSE BILL 2584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Maycumber, Taylor, Buys, Holy, McCaslin, Condotta, Volz, Schmick, Dent, Hayes, Shea, Chandler, and Steele</w:t>
      </w:r>
    </w:p>
    <w:p/>
    <w:p>
      <w:r>
        <w:rPr>
          <w:t xml:space="preserve">Read first time 01/10/18.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assistance to victims of government actions originating as part of the implementation of the growth management act by the state or local governments; amending RCW 36.70A.290 and 43.79A.040; reenacting and amending RCW 42.56.240; adding a new section to chapter 43.10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position of growth management act ombuds is created in the consumer protection division of the office of the attorney general. The ombuds will be considered an advocate for owners of property impacted by restrictions arising from the growth management act, chapter 36.70A RCW; local government's comprehensive plans, development regulations, or actions implementing the growth management act; and appellate court decisions interpreting the growth management act or local governments' comprehensive plans or development regulations. The ombuds must be a member in good standing of the Washington state bar association.</w:t>
      </w:r>
    </w:p>
    <w:p>
      <w:pPr>
        <w:spacing w:before="0" w:after="0" w:line="408" w:lineRule="exact"/>
        <w:ind w:left="0" w:right="0" w:firstLine="576"/>
        <w:jc w:val="left"/>
      </w:pPr>
      <w:r>
        <w:rPr/>
        <w:t xml:space="preserve">(2) The attorney general is directed to assemble an advisory panel and obtain the advisory panel's approval prior to hiring a specific person to the position of growth management act ombuds. The advisory panel must include:</w:t>
      </w:r>
    </w:p>
    <w:p>
      <w:pPr>
        <w:spacing w:before="0" w:after="0" w:line="408" w:lineRule="exact"/>
        <w:ind w:left="0" w:right="0" w:firstLine="576"/>
        <w:jc w:val="left"/>
      </w:pPr>
      <w:r>
        <w:rPr/>
        <w:t xml:space="preserve">(a) At least two members of the legislature of differing political affiliations that serve on a policy committee with jurisdiction over the office of the attorney general;</w:t>
      </w:r>
    </w:p>
    <w:p>
      <w:pPr>
        <w:spacing w:before="0" w:after="0" w:line="408" w:lineRule="exact"/>
        <w:ind w:left="0" w:right="0" w:firstLine="576"/>
        <w:jc w:val="left"/>
      </w:pPr>
      <w:r>
        <w:rPr/>
        <w:t xml:space="preserve">(b) A Washington state licensed attorney in private practice with extensive knowledge of land use and constitutional takings jurisprudence that resides to the east of the crest of the Cascade mountain range; and</w:t>
      </w:r>
    </w:p>
    <w:p>
      <w:pPr>
        <w:spacing w:before="0" w:after="0" w:line="408" w:lineRule="exact"/>
        <w:ind w:left="0" w:right="0" w:firstLine="576"/>
        <w:jc w:val="left"/>
      </w:pPr>
      <w:r>
        <w:rPr/>
        <w:t xml:space="preserve">(c) A Washington state licensed attorney in private practice with extensive knowledge of land use and constitutional takings jurisprudence that resides to the west of the crest of the Cascade mountain range.</w:t>
      </w:r>
    </w:p>
    <w:p>
      <w:pPr>
        <w:spacing w:before="0" w:after="0" w:line="408" w:lineRule="exact"/>
        <w:ind w:left="0" w:right="0" w:firstLine="576"/>
        <w:jc w:val="left"/>
      </w:pPr>
      <w:r>
        <w:rPr/>
        <w:t xml:space="preserve">(3)(a) The growth management act ombuds is to administer the payments from the growth management act victims and response account. The money in the account is to be used for the purpose of ensuring that the implementation of the growth management act does not violate constitutional protections and respond to claims arising from court decisions interpreting the growth management act that started as petitions for review before the growth management hearings board and meet the requirements in (b) and (c) of this subsection.</w:t>
      </w:r>
    </w:p>
    <w:p>
      <w:pPr>
        <w:spacing w:before="0" w:after="0" w:line="408" w:lineRule="exact"/>
        <w:ind w:left="0" w:right="0" w:firstLine="576"/>
        <w:jc w:val="left"/>
      </w:pPr>
      <w:r>
        <w:rPr/>
        <w:t xml:space="preserve">(b) The person requesting the growth management act ombuds' review of a claim must:</w:t>
      </w:r>
    </w:p>
    <w:p>
      <w:pPr>
        <w:spacing w:before="0" w:after="0" w:line="408" w:lineRule="exact"/>
        <w:ind w:left="0" w:right="0" w:firstLine="576"/>
        <w:jc w:val="left"/>
      </w:pPr>
      <w:r>
        <w:rPr/>
        <w:t xml:space="preserve">(i) Pay a review fee of one hundred dollars to be retained by the office of the attorney general. The office of the attorney general may waive the review fee for a person whose income is at or below fifty percent of median income, adjusted for household size, for the county where the property is located;</w:t>
      </w:r>
    </w:p>
    <w:p>
      <w:pPr>
        <w:spacing w:before="0" w:after="0" w:line="408" w:lineRule="exact"/>
        <w:ind w:left="0" w:right="0" w:firstLine="576"/>
        <w:jc w:val="left"/>
      </w:pPr>
      <w:r>
        <w:rPr/>
        <w:t xml:space="preserve">(ii) Identify the growth management hearings board decision or court case opinion and how it impacts the person's property; and</w:t>
      </w:r>
    </w:p>
    <w:p>
      <w:pPr>
        <w:spacing w:before="0" w:after="0" w:line="408" w:lineRule="exact"/>
        <w:ind w:left="0" w:right="0" w:firstLine="576"/>
        <w:jc w:val="left"/>
      </w:pPr>
      <w:r>
        <w:rPr/>
        <w:t xml:space="preserve">(iii) Present substantiated claims that satisfy the legal requirements for inverse condemnation; deprivation of economically viable use of property; extractions or government requirements that do not meet the requirements of nexus and proportionality; violations of the fifth amendment of the United States Constitution; violations of Article I, section 16 of the Washington state Constitution; or claims arising when counties have required property owners to do the county's duty to find legal availability of water by having the property owners establish legal availability of water for a permit exempt well as authorized in RCW 90.44.050.</w:t>
      </w:r>
    </w:p>
    <w:p>
      <w:pPr>
        <w:spacing w:before="0" w:after="0" w:line="408" w:lineRule="exact"/>
        <w:ind w:left="0" w:right="0" w:firstLine="576"/>
        <w:jc w:val="left"/>
      </w:pPr>
      <w:r>
        <w:rPr/>
        <w:t xml:space="preserve">(c) If the ombuds determines the person's claim satisfies the legal and factual requirements for inverse condemnation; deprivation of economically viable use of property; extractions or government requirements that do not meet the requirements of nexus and proportionality; violations of the fifth amendment of the United States Constitution; violations of Article I, section 16 of the Washington state Constitution; or a county has shifted its legal duty onto the property owner seeking to rely on a permit exempt well pursuant to RCW 90.44.050 for a building permit, the ombuds must take at least one if not more of the following actions:</w:t>
      </w:r>
    </w:p>
    <w:p>
      <w:pPr>
        <w:spacing w:before="0" w:after="0" w:line="408" w:lineRule="exact"/>
        <w:ind w:left="0" w:right="0" w:firstLine="576"/>
        <w:jc w:val="left"/>
      </w:pPr>
      <w:r>
        <w:rPr/>
        <w:t xml:space="preserve">(i) Advocate on the person's behalf to the local government for correction of the violation;</w:t>
      </w:r>
    </w:p>
    <w:p>
      <w:pPr>
        <w:spacing w:before="0" w:after="0" w:line="408" w:lineRule="exact"/>
        <w:ind w:left="0" w:right="0" w:firstLine="576"/>
        <w:jc w:val="left"/>
      </w:pPr>
      <w:r>
        <w:rPr/>
        <w:t xml:space="preserve">(ii) Participate in court actions seeking relief for the claims;</w:t>
      </w:r>
    </w:p>
    <w:p>
      <w:pPr>
        <w:spacing w:before="0" w:after="0" w:line="408" w:lineRule="exact"/>
        <w:ind w:left="0" w:right="0" w:firstLine="576"/>
        <w:jc w:val="left"/>
      </w:pPr>
      <w:r>
        <w:rPr/>
        <w:t xml:space="preserve">(iii) Provide the claimant with the ombuds' legal recommendation of the presented claim; or</w:t>
      </w:r>
    </w:p>
    <w:p>
      <w:pPr>
        <w:spacing w:before="0" w:after="0" w:line="408" w:lineRule="exact"/>
        <w:ind w:left="0" w:right="0" w:firstLine="576"/>
        <w:jc w:val="left"/>
      </w:pPr>
      <w:r>
        <w:rPr/>
        <w:t xml:space="preserve">(iv) Pay amounts from the growth management act victims and response account at the discretion of the ombuds in a manner to facilitate the resolution of claims set forth in this subsection. No payment may exceed five thousand dollars and may not be made to corporations, companies, businesses, organizations, associations, government agencies, or any legal entity that is not a natural person.</w:t>
      </w:r>
    </w:p>
    <w:p>
      <w:pPr>
        <w:spacing w:before="0" w:after="0" w:line="408" w:lineRule="exact"/>
        <w:ind w:left="0" w:right="0" w:firstLine="576"/>
        <w:jc w:val="left"/>
      </w:pPr>
      <w:r>
        <w:rPr/>
        <w:t xml:space="preserve">(d) The attorney general must create a form for claimants to use to seek the growth management act ombuds' review. The form must identify the current legal requirements that would be needed to satisfy the claims identified in (b) of this subsection if filed in a Washington state court of law.</w:t>
      </w:r>
    </w:p>
    <w:p>
      <w:pPr>
        <w:spacing w:before="0" w:after="0" w:line="408" w:lineRule="exact"/>
        <w:ind w:left="0" w:right="0" w:firstLine="576"/>
        <w:jc w:val="left"/>
      </w:pPr>
      <w:r>
        <w:rPr/>
        <w:t xml:space="preserve">(e) The attorney general may limit the intake of the amount of claims for review to no more than thirty per month to be addressed by the ombuds.</w:t>
      </w:r>
    </w:p>
    <w:p>
      <w:pPr>
        <w:spacing w:before="0" w:after="0" w:line="408" w:lineRule="exact"/>
        <w:ind w:left="0" w:right="0" w:firstLine="576"/>
        <w:jc w:val="left"/>
      </w:pPr>
      <w:r>
        <w:rPr/>
        <w:t xml:space="preserve">(f) The attorney general and ombuds shall not obligate or disperse amounts that are not available in the growth management act victims and response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w:t>
      </w:r>
      <w:r>
        <w:rPr>
          <w:u w:val="single"/>
        </w:rPr>
        <w:t xml:space="preserve">The board shall collect an assessment of two hundred fifty dollars from the requester of the review to be remitted to the state treasurer and placed in the growth management act victims and response account.</w:t>
      </w:r>
      <w:r>
        <w:rPr/>
        <w:t xml:space="preserve">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(c) of this subsection.</w:t>
      </w:r>
    </w:p>
    <w:p>
      <w:pPr>
        <w:spacing w:before="0" w:after="0" w:line="408" w:lineRule="exact"/>
        <w:ind w:left="0" w:right="0" w:firstLine="576"/>
        <w:jc w:val="left"/>
      </w:pPr>
      <w:r>
        <w:rPr/>
        <w:t xml:space="preserve">(a) Except as provided in (c)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t xml:space="preserve">(3)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rPr/>
        <w:t xml:space="preserve">(4)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rPr/>
        <w:t xml:space="preserve">(5)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victims and response account is created in the custody of the state treasury. All receipts from the assessment in RCW 36.70A.290 must be deposited into the account. Only the attorney general or the growth management act ombuds may authorize expenditures from the account. Expenditures from the account must be used only for the purposes identified in section 1 of this act. The account is subject to allotment procedures under chapter 43.88 RCW, but an appropriation is not required for expenditures. The account is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growth management act victims and response account,</w:t>
      </w:r>
      <w:r>
        <w:rPr/>
        <w:t xml:space="preserve">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All records submitted to the attorney general's office for review by the growth management act ombuds as part of a claim under section 1(3) of this act, and any records created by the department of commerce related to the claim; except that information detailing activity in the growth management act victims and response account must be disclosed, including the name of any person receiving a payment from the account, the amount of the payment, the determination made by the ombuds justifying and authorizing the payment, and any settlement or agreement connected to a payment from the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growth management act victims response act.</w:t>
      </w:r>
    </w:p>
    <w:p/>
    <w:p>
      <w:pPr>
        <w:jc w:val="center"/>
      </w:pPr>
      <w:r>
        <w:rPr>
          <w:b/>
        </w:rPr>
        <w:t>--- END ---</w:t>
      </w:r>
    </w:p>
    <w:sectPr>
      <w:pgNumType w:start="1"/>
      <w:footerReference xmlns:r="http://schemas.openxmlformats.org/officeDocument/2006/relationships" r:id="Ra7fd0b626ef945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d043c04daf41be" /><Relationship Type="http://schemas.openxmlformats.org/officeDocument/2006/relationships/footer" Target="/word/footer.xml" Id="Ra7fd0b626ef945bb" /></Relationships>
</file>