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85b678f724f29" /></Relationships>
</file>

<file path=word/document.xml><?xml version="1.0" encoding="utf-8"?>
<w:document xmlns:w="http://schemas.openxmlformats.org/wordprocessingml/2006/main">
  <w:body>
    <w:p>
      <w:r>
        <w:t>Z-0841.1</w:t>
      </w:r>
    </w:p>
    <w:p>
      <w:pPr>
        <w:jc w:val="center"/>
      </w:pPr>
      <w:r>
        <w:t>_______________________________________________</w:t>
      </w:r>
    </w:p>
    <w:p/>
    <w:p>
      <w:pPr>
        <w:jc w:val="center"/>
      </w:pPr>
      <w:r>
        <w:rPr>
          <w:b/>
        </w:rPr>
        <w:t>HOUSE BILL 2595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Dolan, Appleton, Gregerson, Pellicciotti, Jinkins, Senn, Wylie, Peterson, Sawyer, Fitzgibbon, Valdez, Stanford, Pollet, Doglio, Goodman, Ormsby, Macri, Riccelli, Robinson, and Stonier; by request of Governor Inslee</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29A.08.720, and 42.56.230; adding new sections to chapter 29A.08 RCW; adding a new section to chapter 46.20 RCW; adding new sections to chapter 29A.04 RCW; adding a new section to chapter 29A.84 RCW; creating new sections;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citizenship information.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as of the original date of application.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the health benefit exchange or an office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Citizenship information, verified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203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health benefit exchange shall provide automatic voter registration services pursuant to section 203 of this act, contingent on approval from the centers for medicare and medicaid services for any necessary process changes. If applicable, the exchange shall report any known barriers or impediments to implementation of automatic voter registration to the appropriate committees of the legislature and to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201 of this act, and with each related recertification, renewal, or change of address, each qualified voter registration agency that chooses to or is required to provide automatic voter registration services, as provided in sections 201 and 202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Except for the health benefit exchange,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to ensure that sufficient information for each person who seeks services or benefits provided by the health benefit exchange and who does not decline to register to vote is provided to the secretary of state to allow the secretary of state to obtain a digital copy of the person's signature when available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203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that elects to provide automatic voter registration services, except for the health benefit exchange, shall promptly transmit to the secretary of state the information of each person for whom it retains all the information listed in section 203(2)(b) (i) through (vi) of this act on July 1, 2020. The health benefit exchange shall promptly transmit to the secretary of state the information of each new applicant who has not declined voter registration for whom it retains all the information listed in section 203(2)(b) (i) through (v) of this act beginning when the agency implements automatic voter registration.</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203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becomes registered to vote under section 102 or 203 of this act, and votes or attempts to vote in an election held after the effective date of the person's registration is presumed to have acted with official authorization and not to be guilty of violating RCW 29A.84.130.</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shall conduct an investigation to determine the cause. Agencies participating in automatic voter registration shall cooperate fully with the secretary of state for the purposes of the investigation. Upon completion of the investigation, a report detailing the findings of the investigation must be submitted to the governor and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PENDING VOTER REGISTRATION AT BIRTH AND TASKFORCE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citizens in the voter registration system. Information from certificates of birth filed with the state should be automatically integrated into the existing voter registration process in preparation for those citizens' participation in voting. Voter registration should not be an impediment or hurdle to participation in the election process, but rather a function of properly administered elections. Continued improvement in database integration across state and local agencies should be applied to a modernized voter registration process and database in order to facilitate eligible citizens' participation in future elections. Voter registration should automatically occur at birth when a certificate of live birth has been filed with the state, bringing that new state citizen a step closer to fulfilling the current registration requirements, without changing those existing regulations. A task force should facilitate proper implementation of this streamlining technology integration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2020, any person born in the state of Washington whose certificate of birth is filed with the state registrar of vital statistics after January 1, 2002, shall be preregistered to vote in the state pending that person reaching eighteen years of age and becoming eligible to vote.</w:t>
      </w:r>
    </w:p>
    <w:p>
      <w:pPr>
        <w:spacing w:before="0" w:after="0" w:line="408" w:lineRule="exact"/>
        <w:ind w:left="0" w:right="0" w:firstLine="576"/>
        <w:jc w:val="left"/>
      </w:pPr>
      <w:r>
        <w:rPr/>
        <w:t xml:space="preserve">(2) The personal information included in any birth certificate filed with the state registrar of vital statistics must be forwarded to the office of the secretary of state to be maintained in a database of pending voter registration records for all persons under the age of eligibility. The database must include the name, birthdate, and residential address for each pending registrant.</w:t>
      </w:r>
    </w:p>
    <w:p>
      <w:pPr>
        <w:spacing w:before="0" w:after="0" w:line="408" w:lineRule="exact"/>
        <w:ind w:left="0" w:right="0" w:firstLine="576"/>
        <w:jc w:val="left"/>
      </w:pPr>
      <w:r>
        <w:rPr/>
        <w:t xml:space="preserve">(3) The name and personal information of any person must be removed from the pending voter registration database promptly upon request of the registrant, or his or her parent or legal guardian. The parent or legal guardian must be provided an option to decline to have a child included in the pending voter registration database before the filing of a certificate of the child's birth with the state registrar of vital statistics.</w:t>
      </w:r>
    </w:p>
    <w:p>
      <w:pPr>
        <w:spacing w:before="0" w:after="0" w:line="408" w:lineRule="exact"/>
        <w:ind w:left="0" w:right="0" w:firstLine="576"/>
        <w:jc w:val="left"/>
      </w:pPr>
      <w:r>
        <w:rPr/>
        <w:t xml:space="preserve">(4) Any pending registrant becomes an active registered voter upon reaching eighteen years of age once the office of the secretary of state, county auditor, or other certified election official has confirmed the registrant's residential address at that time.</w:t>
      </w:r>
    </w:p>
    <w:p>
      <w:pPr>
        <w:spacing w:before="0" w:after="0" w:line="408" w:lineRule="exact"/>
        <w:ind w:left="0" w:right="0" w:firstLine="576"/>
        <w:jc w:val="left"/>
      </w:pPr>
      <w:r>
        <w:rPr/>
        <w:t xml:space="preserve">(5) The information contained in the pending voter registration database may not be disclosed or shared with any person, including any federal, state, or local agency, however any person may request his or her own personal information in the database. The information contained in the pending voter registration database is exempt from public disclosure under chapter 42.56 RCW.</w:t>
      </w:r>
    </w:p>
    <w:p>
      <w:pPr>
        <w:spacing w:before="0" w:after="0" w:line="408" w:lineRule="exact"/>
        <w:ind w:left="0" w:right="0" w:firstLine="576"/>
        <w:jc w:val="left"/>
      </w:pPr>
      <w:r>
        <w:rPr/>
        <w:t xml:space="preserve">(6) The office of the secretary of state must update the personal information on any pending voter registration record, including change of name or address, by using information in existing state databases and upon request of the registrant. Such updates must be made as often as is practicable, but not less than twice per calendar year. The office of the secretary of state may make rules for gathering information and updating pending voter registration records, and may use a private vendor to facilitate this process, including gathering reliable address information.</w:t>
      </w:r>
    </w:p>
    <w:p>
      <w:pPr>
        <w:spacing w:before="0" w:after="0" w:line="408" w:lineRule="exact"/>
        <w:ind w:left="0" w:right="0" w:firstLine="576"/>
        <w:jc w:val="left"/>
      </w:pPr>
      <w:r>
        <w:rPr/>
        <w:t xml:space="preserve">(7) The secretary of state must develop and facilitate a process for collecting personally identifiable information from pending registrants that is substantially similar to the active voter registration process to the extent that it can be used to reliably confirm the identity of a registered voter who votes in an election. Such personally identifiable information may include, but not be limited to, a signature. The secretary may develop rules for accepting signatures transferred from other state databases.</w:t>
      </w:r>
    </w:p>
    <w:p>
      <w:pPr>
        <w:spacing w:before="0" w:after="0" w:line="408" w:lineRule="exact"/>
        <w:ind w:left="0" w:right="0" w:firstLine="576"/>
        <w:jc w:val="left"/>
      </w:pPr>
      <w:r>
        <w:rPr/>
        <w:t xml:space="preserve">(8) The voter registration process established in this section does not restrict or otherwise limit the ability of any eligible person from registering to vote through any other voter registration process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legislature shall convene a task force on voter registration to facilitate the implementation and administration of section 302 of this act, regarding the mandated automatic voter registration for all persons born in the state. The task force shall include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office of the governor;</w:t>
      </w:r>
    </w:p>
    <w:p>
      <w:pPr>
        <w:spacing w:before="0" w:after="0" w:line="408" w:lineRule="exact"/>
        <w:ind w:left="0" w:right="0" w:firstLine="576"/>
        <w:jc w:val="left"/>
      </w:pPr>
      <w:r>
        <w:rPr/>
        <w:t xml:space="preserve">(d) A representative from the office of the secretary of state;</w:t>
      </w:r>
    </w:p>
    <w:p>
      <w:pPr>
        <w:spacing w:before="0" w:after="0" w:line="408" w:lineRule="exact"/>
        <w:ind w:left="0" w:right="0" w:firstLine="576"/>
        <w:jc w:val="left"/>
      </w:pPr>
      <w:r>
        <w:rPr/>
        <w:t xml:space="preserve">(e) A representative from the Washington association of county auditors;</w:t>
      </w:r>
    </w:p>
    <w:p>
      <w:pPr>
        <w:spacing w:before="0" w:after="0" w:line="408" w:lineRule="exact"/>
        <w:ind w:left="0" w:right="0" w:firstLine="576"/>
        <w:jc w:val="left"/>
      </w:pPr>
      <w:r>
        <w:rPr/>
        <w:t xml:space="preserve">(f) A representative from the department of health;</w:t>
      </w:r>
    </w:p>
    <w:p>
      <w:pPr>
        <w:spacing w:before="0" w:after="0" w:line="408" w:lineRule="exact"/>
        <w:ind w:left="0" w:right="0" w:firstLine="576"/>
        <w:jc w:val="left"/>
      </w:pPr>
      <w:r>
        <w:rPr/>
        <w:t xml:space="preserve">(g) A representative of the office of the chief information officer; and</w:t>
      </w:r>
    </w:p>
    <w:p>
      <w:pPr>
        <w:spacing w:before="0" w:after="0" w:line="408" w:lineRule="exact"/>
        <w:ind w:left="0" w:right="0" w:firstLine="576"/>
        <w:jc w:val="left"/>
      </w:pPr>
      <w:r>
        <w:rPr/>
        <w:t xml:space="preserve">(h) A member of the public appointed by the governor's office.</w:t>
      </w:r>
    </w:p>
    <w:p>
      <w:pPr>
        <w:spacing w:before="0" w:after="0" w:line="408" w:lineRule="exact"/>
        <w:ind w:left="0" w:right="0" w:firstLine="576"/>
        <w:jc w:val="left"/>
      </w:pPr>
      <w:r>
        <w:rPr/>
        <w:t xml:space="preserve">(2) The task force may invite other individuals from public or private entities or agencies to join in deliberations that help advance the implementation of section 302 of this act.</w:t>
      </w:r>
    </w:p>
    <w:p>
      <w:pPr>
        <w:spacing w:before="0" w:after="0" w:line="408" w:lineRule="exact"/>
        <w:ind w:left="0" w:right="0" w:firstLine="576"/>
        <w:jc w:val="left"/>
      </w:pPr>
      <w:r>
        <w:rPr/>
        <w:t xml:space="preserve">(3) Staff support for the task force shall be provided by the office of the secretary of state.</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w:t>
      </w:r>
    </w:p>
    <w:p>
      <w:pPr>
        <w:spacing w:before="0" w:after="0" w:line="408" w:lineRule="exact"/>
        <w:ind w:left="0" w:right="0" w:firstLine="576"/>
        <w:jc w:val="left"/>
      </w:pPr>
      <w:r>
        <w:rPr/>
        <w:t xml:space="preserve">(5) The secretary of state shall set the initial meeting of the task force. The task force shall choose two cochairs from among its legislative members at the initial meeting. Additional meetings shall be set by the task force cochairs. The task force must hold at least three meetings. The secretary of state may set any meeting to meet the minimum required number of annual meetings if the cochairs fail to agree on setting at least three meetings in any year.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(6) The task force may request such information, recordings, and other records from agencies as the task force deems appropriate for it to effectuate this section. The task force should consult with relevant state agencies that collect and maintain records containing personal information of individuals and consider ways for transferring and sharing such information with voter registration databases.</w:t>
      </w:r>
    </w:p>
    <w:p>
      <w:pPr>
        <w:spacing w:before="0" w:after="0" w:line="408" w:lineRule="exact"/>
        <w:ind w:left="0" w:right="0" w:firstLine="576"/>
        <w:jc w:val="left"/>
      </w:pPr>
      <w:r>
        <w:rPr/>
        <w:t xml:space="preserve">(7) The task force shall submit a report to the governor and the appropriate committees of the legislature by December 1, 2018. The report must include findings and recommendations on how to implement and administer the requirements under section 302 of this act, including any proposed legislation necessary for implementation and estimated funding and revenue sources for such costs. Such proposed legislation may include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 Any legislation proposed by the task force must be considered by each appropriate legislative committee during the legislative session immediately following the submission of the report.</w:t>
      </w:r>
    </w:p>
    <w:p>
      <w:pPr>
        <w:spacing w:before="0" w:after="0" w:line="408" w:lineRule="exact"/>
        <w:ind w:left="0" w:right="0" w:firstLine="576"/>
        <w:jc w:val="left"/>
      </w:pPr>
      <w:r>
        <w:rPr/>
        <w:t xml:space="preserve">(8)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The information maintained in the pending voter registration database, pursuant to section 302 of this act, unless the request is made by a person for his or her own personal information in the database. The disclosure of information maintained in the pending voter registration database is subject to the requirements of section 302 of this act</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STUDY FOR AUTOMATIC VOTER REGISTRATION OF NATURALIZED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recently naturalized citizens who reside within the state. The office should consult with federal agencies involved with naturalization to coordinate and encourage the sharing of information and resources and to determine the feasibility of options for developing an automatic voter registration process for recently naturalized citizens.</w:t>
      </w:r>
    </w:p>
    <w:p>
      <w:pPr>
        <w:spacing w:before="0" w:after="0" w:line="408" w:lineRule="exact"/>
        <w:ind w:left="0" w:right="0" w:firstLine="576"/>
        <w:jc w:val="left"/>
      </w:pPr>
      <w:r>
        <w:rPr/>
        <w:t xml:space="preserve">(2) The office of the secretary of state must prepare a report to the appropriate legislative standing committees by December 1, 2019, that includes a summary of the study and proposed recommendations, including any legislative authority that may be needed to implement the proposed recommendations.</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210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304 of this act take effect July 1, 2018.</w:t>
      </w:r>
    </w:p>
    <w:p/>
    <w:p>
      <w:pPr>
        <w:jc w:val="center"/>
      </w:pPr>
      <w:r>
        <w:rPr>
          <w:b/>
        </w:rPr>
        <w:t>--- END ---</w:t>
      </w:r>
    </w:p>
    <w:sectPr>
      <w:pgNumType w:start="1"/>
      <w:footerReference xmlns:r="http://schemas.openxmlformats.org/officeDocument/2006/relationships" r:id="R500af7b9fd2b48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60fe613184798" /><Relationship Type="http://schemas.openxmlformats.org/officeDocument/2006/relationships/footer" Target="/word/footer.xml" Id="R500af7b9fd2b4844" /></Relationships>
</file>