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c0d518b5fe4e69" /></Relationships>
</file>

<file path=word/document.xml><?xml version="1.0" encoding="utf-8"?>
<w:document xmlns:w="http://schemas.openxmlformats.org/wordprocessingml/2006/main">
  <w:body>
    <w:p>
      <w:r>
        <w:t>H-4490.1</w:t>
      </w:r>
    </w:p>
    <w:p>
      <w:pPr>
        <w:jc w:val="center"/>
      </w:pPr>
      <w:r>
        <w:t>_______________________________________________</w:t>
      </w:r>
    </w:p>
    <w:p/>
    <w:p>
      <w:pPr>
        <w:jc w:val="center"/>
      </w:pPr>
      <w:r>
        <w:rPr>
          <w:b/>
        </w:rPr>
        <w:t>SUBSTITUTE HOUSE BILL 2607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Irwin, Wilcox, Fitzgibbon, Stokesbary, Jinkins, Muri, and Santos)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redevelopment of certain areas to encourage transit supportive densities and efficient land use; and amending RCW 84.14.007 and 84.14.040.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007</w:t>
      </w:r>
      <w:r>
        <w:rPr/>
        <w:t xml:space="preserve"> and 2014 c 96 s 2 are each amended to read as follows:</w:t>
      </w:r>
    </w:p>
    <w:p>
      <w:pPr>
        <w:spacing w:before="0" w:after="0" w:line="408" w:lineRule="exact"/>
        <w:ind w:left="0" w:right="0" w:firstLine="576"/>
        <w:jc w:val="left"/>
      </w:pPr>
      <w:r>
        <w:rPr/>
        <w:t xml:space="preserve">It is the purpose of this chapter to encourage increased residential opportunities, including affordable housing opportunities, in cities that are required to plan or choose to plan under the growth management act within urban centers where the governing authority of the affected city has found there is insufficient housing opportunities, including affordable housing opportunities. It is further the purpose of this chapter to stimulate the construction of new multifamily housing and the rehabilitation of existing vacant and underutilized buildings for multifamily housing in urban centers having insufficient housing opportunities that will increase and improve residential opportunities, including affordable housing opportunities, within these urban centers. To achieve these purposes, this chapter provides for special valuations in residentially deficient urban centers for eligible improvements associated with multiunit housing, which includes affordable housing. It is an additional purpose of this chapter to allow unincorporated areas of rural counties that are within urban growth areas to stimulate housing opportunities and for certain counties to stimulate housing opportunities </w:t>
      </w:r>
      <w:r>
        <w:rPr>
          <w:u w:val="single"/>
        </w:rPr>
        <w:t xml:space="preserve">and redevelopment of areas in urban growth areas to promote transit supportive densities and more efficient land use, and</w:t>
      </w:r>
      <w:r>
        <w:rPr/>
        <w:t xml:space="preserve"> near college campuses to promote dense, transit-oriented, walkable college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rural county, served by a sewer system and designated by a county prior to January 1, 2013; </w:t>
      </w:r>
      <w:r>
        <w:t>((</w:t>
      </w:r>
      <w:r>
        <w:rPr>
          <w:strike/>
        </w:rPr>
        <w:t xml:space="preserve">or</w:t>
      </w:r>
      <w:r>
        <w:t>))</w:t>
      </w:r>
      <w:r>
        <w:rPr/>
        <w:t xml:space="preserve"> (ii) in a county that includes a campus of an institution of higher education, as defined in RCW 28B.92.030, where at least one thousand two hundred students live on campus during the academic year</w:t>
      </w:r>
      <w:r>
        <w:rPr>
          <w:u w:val="single"/>
        </w:rPr>
        <w:t xml:space="preserve">; or (iii) in a county seeking to promote transit supportive densities and efficient land use in an area that is: (A) Located no further than one and one-half miles from the boundary of a city with a population of at least two hundred thousand; and (B) within three quarters of a mile of a corridor where bus service is scheduled at least every fifteen minutes for no less than ten hours per day and is in service or is planned for service to begin within five years of designation</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Requirements that address demolition of existing structures and site utilization; and</w:t>
      </w:r>
    </w:p>
    <w:p>
      <w:pPr>
        <w:spacing w:before="0" w:after="0" w:line="408" w:lineRule="exact"/>
        <w:ind w:left="0" w:right="0" w:firstLine="576"/>
        <w:jc w:val="left"/>
      </w:pPr>
      <w:r>
        <w:rPr/>
        <w:t xml:space="preserve">(c)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 The governing authority may adopt and implement, either as conditions to eight</w:t>
      </w:r>
      <w:r>
        <w:rPr/>
        <w:noBreakHyphen/>
      </w:r>
      <w:r>
        <w:rPr/>
        <w:t xml:space="preserve">year exemptions or as conditions to an extended exemption period under RCW 84.14.020(1)(a)(ii)(B), or both, more stringent income eligibility, rent, or sale price limits, including limits that apply to a higher percentage of units, than the minimum conditions for an extended exemption period under RCW 84.14.020(1)(a)(ii)(B).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(6) may be satisfied solely through housing affordable to moderate-income households.</w:t>
      </w:r>
    </w:p>
    <w:p/>
    <w:p>
      <w:pPr>
        <w:jc w:val="center"/>
      </w:pPr>
      <w:r>
        <w:rPr>
          <w:b/>
        </w:rPr>
        <w:t>--- END ---</w:t>
      </w:r>
    </w:p>
    <w:sectPr>
      <w:pgNumType w:start="1"/>
      <w:footerReference xmlns:r="http://schemas.openxmlformats.org/officeDocument/2006/relationships" r:id="R2057ba8ae03544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2d1c1a63b44e36" /><Relationship Type="http://schemas.openxmlformats.org/officeDocument/2006/relationships/footer" Target="/word/footer.xml" Id="R2057ba8ae03544ff" /></Relationships>
</file>