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6fb5b03004f34" /></Relationships>
</file>

<file path=word/document.xml><?xml version="1.0" encoding="utf-8"?>
<w:document xmlns:w="http://schemas.openxmlformats.org/wordprocessingml/2006/main">
  <w:body>
    <w:p>
      <w:r>
        <w:t>H-4434.1</w:t>
      </w:r>
    </w:p>
    <w:p>
      <w:pPr>
        <w:jc w:val="center"/>
      </w:pPr>
      <w:r>
        <w:t>_______________________________________________</w:t>
      </w:r>
    </w:p>
    <w:p/>
    <w:p>
      <w:pPr>
        <w:jc w:val="center"/>
      </w:pPr>
      <w:r>
        <w:rPr>
          <w:b/>
        </w:rPr>
        <w:t>SUBSTITUTE HOUSE BILL 2715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Klippert and Goodman)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9.94A.729, 9.94A.533, 10.21.055, 18.360.030, 38.52.430, 43.43.395, and 46.20.750; reenacting and amending RCW 46.61.5055; adding a new section to chapter 46.20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t xml:space="preserve">. </w:t>
      </w:r>
      <w:r>
        <w:rPr>
          <w:u w:val="single"/>
        </w:rPr>
        <w:t xml:space="preserve">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t xml:space="preserve">. </w:t>
      </w:r>
      <w:r>
        <w:rPr>
          <w:u w:val="single"/>
        </w:rPr>
        <w:t xml:space="preserve">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six months </w:t>
      </w:r>
      <w:r>
        <w:rPr>
          <w:u w:val="single"/>
        </w:rPr>
        <w:t xml:space="preserve">for each passenger under the age of sixteen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an ignition interlock device lockout condition occurs, the ignition interlock device manufacturer may authorize and provide a temporary bypass mechanism that allows the restricted person or another person to remove the lockout condition for up to twenty-four hours in order for the vehicle equipped with the ignition interlock device to be transported for service of the device. A bypass mechanism may only be authorized once per lockout condition incident. The use of a bypass mechanism must be displayed within the data log that is downloaded by the manufacturer and must be reported to the Washington state patrol within seven days of the download.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2015 2nd sp.s. c 3 s 11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p>
    <w:p>
      <w:pPr>
        <w:spacing w:before="0" w:after="0" w:line="408" w:lineRule="exact"/>
        <w:ind w:left="0" w:right="0" w:firstLine="576"/>
        <w:jc w:val="left"/>
      </w:pPr>
      <w:r>
        <w:rPr/>
        <w:t xml:space="preserve">(i) Fuel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p>
    <w:p>
      <w:pPr>
        <w:spacing w:before="0" w:after="0" w:line="408" w:lineRule="exact"/>
        <w:ind w:left="0" w:right="0" w:firstLine="576"/>
        <w:jc w:val="left"/>
      </w:pPr>
      <w:r>
        <w:rPr/>
        <w:t xml:space="preserve">(ii) Technology capable of taking a photo identification of the user giving the breath sample and recording on the photo the time the breath sample was given; </w:t>
      </w:r>
      <w:r>
        <w:t>((</w:t>
      </w:r>
      <w:r>
        <w:rPr>
          <w:strike/>
        </w:rPr>
        <w:t xml:space="preserve">and</w:t>
      </w:r>
      <w:r>
        <w:t>))</w:t>
      </w:r>
    </w:p>
    <w:p>
      <w:pPr>
        <w:spacing w:before="0" w:after="0" w:line="408" w:lineRule="exact"/>
        <w:ind w:left="0" w:right="0" w:firstLine="576"/>
        <w:jc w:val="left"/>
      </w:pPr>
      <w:r>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u w:val="single"/>
        </w:rPr>
        <w:t xml:space="preserve">; and</w:t>
      </w:r>
    </w:p>
    <w:p>
      <w:pPr>
        <w:spacing w:before="0" w:after="0" w:line="408" w:lineRule="exact"/>
        <w:ind w:left="0" w:right="0" w:firstLine="576"/>
        <w:jc w:val="left"/>
      </w:pPr>
      <w:r>
        <w:rPr>
          <w:u w:val="single"/>
        </w:rPr>
        <w:t xml:space="preserve">(iv) Technology capable of allowing a device lockout condition to be bypassed by a restricted person or other person for up to twenty-four hours upon authorization of the device manufacturer</w:t>
      </w:r>
      <w:r>
        <w:rPr/>
        <w:t xml:space="preserve">.</w:t>
      </w:r>
    </w:p>
    <w:p>
      <w:pPr>
        <w:spacing w:before="0" w:after="0" w:line="408" w:lineRule="exact"/>
        <w:ind w:left="0" w:right="0" w:firstLine="576"/>
        <w:jc w:val="left"/>
      </w:pPr>
      <w:r>
        <w:rPr/>
        <w:t xml:space="preserve">(b)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accredited and certified under the current edition of ISO (the international organization of standardization) 17025 standard for testing and calibration laboratories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w:t>
      </w:r>
      <w:r>
        <w:rPr>
          <w:u w:val="single"/>
        </w:rPr>
        <w:t xml:space="preserve">This section does not apply if the conduct is authorized under section 7 of this act.</w:t>
      </w:r>
    </w:p>
    <w:p>
      <w:pPr>
        <w:spacing w:before="0" w:after="0" w:line="408" w:lineRule="exact"/>
        <w:ind w:left="0" w:right="0" w:firstLine="576"/>
        <w:jc w:val="left"/>
      </w:pPr>
      <w:r>
        <w:rPr>
          <w:u w:val="single"/>
        </w:rPr>
        <w:t xml:space="preserve">(4)</w:t>
      </w:r>
      <w:r>
        <w:rPr/>
        <w:t xml:space="preserve"> Any sentence imposed for a violation of subsection (1) of this section shall be served consecutively with any sentence imposed under RCW 46.20.740, 46.61.502, 46.61.504, 46.61.5055, 46.61.520(1)(a), or 46.61.522(1)(b).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2019.</w:t>
      </w:r>
    </w:p>
    <w:p/>
    <w:p>
      <w:pPr>
        <w:jc w:val="center"/>
      </w:pPr>
      <w:r>
        <w:rPr>
          <w:b/>
        </w:rPr>
        <w:t>--- END ---</w:t>
      </w:r>
    </w:p>
    <w:sectPr>
      <w:pgNumType w:start="1"/>
      <w:footerReference xmlns:r="http://schemas.openxmlformats.org/officeDocument/2006/relationships" r:id="Rf9490c5bf8d048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86bc0279e4dad" /><Relationship Type="http://schemas.openxmlformats.org/officeDocument/2006/relationships/footer" Target="/word/footer.xml" Id="Rf9490c5bf8d04803" /></Relationships>
</file>