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5517c92084581" /></Relationships>
</file>

<file path=word/document.xml><?xml version="1.0" encoding="utf-8"?>
<w:document xmlns:w="http://schemas.openxmlformats.org/wordprocessingml/2006/main">
  <w:body>
    <w:p>
      <w:r>
        <w:t>H-3054.1</w:t>
      </w:r>
    </w:p>
    <w:p>
      <w:pPr>
        <w:jc w:val="center"/>
      </w:pPr>
      <w:r>
        <w:t>_______________________________________________</w:t>
      </w:r>
    </w:p>
    <w:p/>
    <w:p>
      <w:pPr>
        <w:jc w:val="center"/>
      </w:pPr>
      <w:r>
        <w:rPr>
          <w:b/>
        </w:rPr>
        <w:t>HOUSE BILL 2747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Wylie, Harris, Johnson, Pellicciotti, Pollet, Stonier, Kloba, Chapman, Valdez, Appleton, Muri, Jinkins, Goodman, Gregerson, Doglio, Tharinger, and Slatter</w:t>
      </w:r>
    </w:p>
    <w:p/>
    <w:p>
      <w:r>
        <w:rPr>
          <w:t xml:space="preserve">Read first time 01/15/18.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deduction for out-of-pocket medical expenses from the calculation of disposable income for senior property tax programs; amending RCW 84.36.383;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property tax exemption authorized by Article VII, section 10 of the state Constitution based on a retired property owner's ability to pay taxes as measured by disposable income. The legislature finds that many retired persons have significant medical expenses while living on modest fixed incomes. The legislature further finds that many of these expenses are not deductible from the calculation of disposable income under RCW 84.36.383. Therefore, the legislature intends to provide a permanent deduction for out-of-pocket medical expenses in the calculation of disposable income for senior property tax exemption and deferral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p>
    <w:p>
      <w:pPr>
        <w:spacing w:before="0" w:after="0" w:line="408" w:lineRule="exact"/>
        <w:ind w:left="0" w:right="0" w:firstLine="576"/>
        <w:jc w:val="left"/>
      </w:pPr>
      <w:r>
        <w:rPr>
          <w:strike/>
        </w:rPr>
        <w:t xml:space="preserve">(c) Health care insurance premiums for medicare under Title XVIII of the social security act</w:t>
      </w:r>
      <w:r>
        <w:t>))</w:t>
      </w:r>
    </w:p>
    <w:p>
      <w:pPr>
        <w:spacing w:before="0" w:after="0" w:line="408" w:lineRule="exact"/>
        <w:ind w:left="0" w:right="0" w:firstLine="576"/>
        <w:jc w:val="left"/>
      </w:pPr>
      <w:r>
        <w:rPr>
          <w:u w:val="single"/>
        </w:rPr>
        <w:t xml:space="preserve">(c) Medical, dental, and vision care expenses, including insurance premiums, deductibles, copayments, and coinsurance;</w:t>
      </w:r>
    </w:p>
    <w:p>
      <w:pPr>
        <w:spacing w:before="0" w:after="0" w:line="408" w:lineRule="exact"/>
        <w:ind w:left="0" w:right="0" w:firstLine="576"/>
        <w:jc w:val="left"/>
      </w:pPr>
      <w:r>
        <w:rPr>
          <w:u w:val="single"/>
        </w:rPr>
        <w:t xml:space="preserve">(d) Durable medical equipment and mobility enhancing equipment, as defined in RCW 82.08.0283; and</w:t>
      </w:r>
    </w:p>
    <w:p>
      <w:pPr>
        <w:spacing w:before="0" w:after="0" w:line="408" w:lineRule="exact"/>
        <w:ind w:left="0" w:right="0" w:firstLine="576"/>
        <w:jc w:val="left"/>
      </w:pPr>
      <w:r>
        <w:rPr>
          <w:u w:val="single"/>
        </w:rPr>
        <w:t xml:space="preserve">(e)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0a528f9216f849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fd84b1381425a" /><Relationship Type="http://schemas.openxmlformats.org/officeDocument/2006/relationships/footer" Target="/word/footer.xml" Id="R0a528f9216f849c1" /></Relationships>
</file>