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e7b9e0e2574b30" /></Relationships>
</file>

<file path=word/document.xml><?xml version="1.0" encoding="utf-8"?>
<w:document xmlns:w="http://schemas.openxmlformats.org/wordprocessingml/2006/main">
  <w:body>
    <w:p>
      <w:r>
        <w:t>H-3420.4</w:t>
      </w:r>
    </w:p>
    <w:p>
      <w:pPr>
        <w:jc w:val="center"/>
      </w:pPr>
      <w:r>
        <w:t>_______________________________________________</w:t>
      </w:r>
    </w:p>
    <w:p/>
    <w:p>
      <w:pPr>
        <w:jc w:val="center"/>
      </w:pPr>
      <w:r>
        <w:rPr>
          <w:b/>
        </w:rPr>
        <w:t>HOUSE BILL 2755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Macri, Appleton, Pollet, Harris, Irwin, Sells, Condotta, Vick, Kirby, Bergquist, Gregerson, Doglio, Tharinger, and Steele</w:t>
      </w:r>
    </w:p>
    <w:p/>
    <w:p>
      <w:r>
        <w:rPr>
          <w:t xml:space="preserve">Read first time 01/15/18.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 benefits provided by the school employees' benefits board; amending RCW 41.05.050;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districts and educational service districts in many rural and urban areas must aggressively compete for employees, and need to offer better employee benefits, benefits at a lower cost, or both in order to recruit and retain employees. The legislature finds that large school districts can purchase superior benefits for less money, because of demographic and geographic advantages.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and educational service districts,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w:t>
      </w:r>
      <w:r>
        <w:rPr>
          <w:u w:val="single"/>
        </w:rPr>
        <w:t xml:space="preserve">or until the requirements of chapter 13, Laws of 2017, 3rd sp. sess. are met, whichever is later,</w:t>
      </w:r>
      <w:r>
        <w:rPr/>
        <w:t xml:space="preserve">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and until January 1, 2020,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Beginning January 1, 2020, </w:t>
      </w:r>
      <w:r>
        <w:rPr>
          <w:u w:val="single"/>
        </w:rPr>
        <w:t xml:space="preserve">or until the requirements of chapter 13, Laws of 2017, 3rd sp. sess. are met, whichever is later,</w:t>
      </w:r>
      <w:r>
        <w:rPr/>
        <w:t xml:space="preserve"> all school districts and educational service districts shall commence participation in the school employees' benefits board program established under RCW 41.05.740. All school districts and educational service districts, and all district employee groups participating in the public employees' benefits board plans before January 1, 2020, shall thereafter participate in the school employees' benefits board program administered by the authority. </w:t>
      </w:r>
      <w:r>
        <w:rPr>
          <w:u w:val="single"/>
        </w:rPr>
        <w:t xml:space="preserve">However, school districts and educational service districts may be exempt from the requirement to obtain employee benefits through the school employees' benefits board if the following requirements are met: Benefits offered are in compliance with all requirements under RCW 41.05.740. Benefits offered are of a generally equivalent actuarial value to those benefits offered through the school employees' benefits board. Benefits offered are at a generally equivalent cost to those benefits offered through the school employees' benefits board. The school district or educational service district has greater than one thousand eligible employees or is purchasing benefits through a trust, interlocal, or association plan with greater than ten thousand subscribers.</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w:t>
      </w:r>
      <w:r>
        <w:t>((</w:t>
      </w:r>
      <w:r>
        <w:rPr>
          <w:strike/>
        </w:rPr>
        <w:t xml:space="preserve">and</w:t>
      </w:r>
      <w:r>
        <w:t>))</w:t>
      </w:r>
    </w:p>
    <w:p>
      <w:pPr>
        <w:spacing w:before="0" w:after="0" w:line="408" w:lineRule="exact"/>
        <w:ind w:left="0" w:right="0" w:firstLine="576"/>
        <w:jc w:val="left"/>
      </w:pPr>
      <w:r>
        <w:rPr/>
        <w:t xml:space="preserve">(ii) </w:t>
      </w:r>
      <w:r>
        <w:rPr>
          <w:u w:val="single"/>
        </w:rPr>
        <w:t xml:space="preserve">"Generally equivalent" means within ten percent; and</w:t>
      </w:r>
    </w:p>
    <w:p>
      <w:pPr>
        <w:spacing w:before="0" w:after="0" w:line="408" w:lineRule="exact"/>
        <w:ind w:left="0" w:right="0" w:firstLine="576"/>
        <w:jc w:val="left"/>
      </w:pPr>
      <w:r>
        <w:rPr>
          <w:u w:val="single"/>
        </w:rPr>
        <w:t xml:space="preserve">(iii)</w:t>
      </w:r>
      <w:r>
        <w:rPr/>
        <w:t xml:space="preserve">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
      <w:pPr>
        <w:jc w:val="center"/>
      </w:pPr>
      <w:r>
        <w:rPr>
          <w:b/>
        </w:rPr>
        <w:t>--- END ---</w:t>
      </w:r>
    </w:p>
    <w:sectPr>
      <w:pgNumType w:start="1"/>
      <w:footerReference xmlns:r="http://schemas.openxmlformats.org/officeDocument/2006/relationships" r:id="Rf5970b85929d48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e17e9a26b4ad9" /><Relationship Type="http://schemas.openxmlformats.org/officeDocument/2006/relationships/footer" Target="/word/footer.xml" Id="Rf5970b85929d4870" /></Relationships>
</file>