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a609660e2488c" /></Relationships>
</file>

<file path=word/document.xml><?xml version="1.0" encoding="utf-8"?>
<w:document xmlns:w="http://schemas.openxmlformats.org/wordprocessingml/2006/main">
  <w:body>
    <w:p>
      <w:r>
        <w:t>H-3769.1</w:t>
      </w:r>
    </w:p>
    <w:p>
      <w:pPr>
        <w:jc w:val="center"/>
      </w:pPr>
      <w:r>
        <w:t>_______________________________________________</w:t>
      </w:r>
    </w:p>
    <w:p/>
    <w:p>
      <w:pPr>
        <w:jc w:val="center"/>
      </w:pPr>
      <w:r>
        <w:rPr>
          <w:b/>
        </w:rPr>
        <w:t>HOUSE BILL 2763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Jenkin, Santos, Harris, Hargrove, Griffey, Kilduff, McDonald, Johnson, Steele, Nealey, Kloba, Stonier, Muri, Senn, Gregerson, Pollet, and Slatter</w:t>
      </w:r>
    </w:p>
    <w:p/>
    <w:p>
      <w:r>
        <w:rPr>
          <w:t xml:space="preserve">Read first time 01/15/18.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additional poverty-based learning assistance program allocation; and amending RCW 28A.150.260 and 28A.165.055.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2018,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and library materials</w:t>
      </w:r>
      <w:r>
        <w:tab/>
      </w:r>
      <w:r>
        <w:rPr/>
        <w:t xml:space="preserve"> $298.05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w:t>
      </w:r>
      <w:r>
        <w:t>((</w:t>
      </w:r>
      <w:r>
        <w:rPr>
          <w:strike/>
        </w:rPr>
        <w:t xml:space="preserve">in schools where at least fifty percent of students are</w:t>
      </w:r>
      <w:r>
        <w:t>))</w:t>
      </w:r>
      <w:r>
        <w:rPr>
          <w:u w:val="single"/>
        </w:rPr>
        <w:t xml:space="preserve">, each school shall receive an allocation based on a four-year rolling average of the per-pupil amount received by the school for all students in the school who were</w:t>
      </w:r>
      <w:r>
        <w:rPr/>
        <w:t xml:space="preserve"> eligible for free and reduced-price meals </w:t>
      </w:r>
      <w:r>
        <w:rPr>
          <w:u w:val="single"/>
        </w:rPr>
        <w:t xml:space="preserve">in the prior four years</w:t>
      </w:r>
      <w:r>
        <w:rPr/>
        <w:t xml:space="preserve">. The minimum allocation for this additional </w:t>
      </w:r>
      <w:r>
        <w:t>((</w:t>
      </w:r>
      <w:r>
        <w:rPr>
          <w:strike/>
        </w:rPr>
        <w:t xml:space="preserve">high</w:t>
      </w:r>
      <w:r>
        <w:t>))</w:t>
      </w:r>
      <w:r>
        <w:rPr/>
        <w:t xml:space="preserve"> poverty-based allocation must provide for each level of prototypical school resources to provide, on a statewide average, 1.1 hours per week in extra instruction with a class size of fifteen learning assistance program students per teacher</w:t>
      </w:r>
      <w:r>
        <w:t>((</w:t>
      </w:r>
      <w:r>
        <w:rPr>
          <w:strike/>
        </w:rPr>
        <w:t xml:space="preserve">,</w:t>
      </w:r>
      <w:r>
        <w:t>))</w:t>
      </w:r>
      <w:r>
        <w:rPr>
          <w:u w:val="single"/>
        </w:rPr>
        <w:t xml:space="preserve">. U</w:t>
      </w:r>
      <w:r>
        <w:rPr/>
        <w:t xml:space="preserve">nder RCW 28A.165.055, school districts must distribute the </w:t>
      </w:r>
      <w:r>
        <w:t>((</w:t>
      </w:r>
      <w:r>
        <w:rPr>
          <w:strike/>
        </w:rPr>
        <w:t xml:space="preserve">high</w:t>
      </w:r>
      <w:r>
        <w:t>))</w:t>
      </w:r>
      <w:r>
        <w:rPr/>
        <w:t xml:space="preserve"> </w:t>
      </w:r>
      <w:r>
        <w:rPr>
          <w:u w:val="single"/>
        </w:rPr>
        <w:t xml:space="preserve">additional</w:t>
      </w:r>
      <w:r>
        <w:rPr/>
        <w:t xml:space="preserve">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w:t>
      </w:r>
      <w:r>
        <w:t>((</w:t>
      </w:r>
      <w:r>
        <w:rPr>
          <w:strike/>
        </w:rPr>
        <w:t xml:space="preserve">high</w:t>
      </w:r>
      <w:r>
        <w:t>))</w:t>
      </w:r>
      <w:r>
        <w:rPr/>
        <w:t xml:space="preserve"> </w:t>
      </w:r>
      <w:r>
        <w:rPr>
          <w:u w:val="single"/>
        </w:rPr>
        <w:t xml:space="preserve">additional</w:t>
      </w:r>
      <w:r>
        <w:rPr/>
        <w:t xml:space="preserve"> poverty-based allocation is generated by its qualifying school buildings and must be expended by the district for those buildings. This funding must supplement and not supplant the district's expenditures under this chapter for those school buildings.</w:t>
      </w:r>
    </w:p>
    <w:p/>
    <w:p>
      <w:pPr>
        <w:jc w:val="center"/>
      </w:pPr>
      <w:r>
        <w:rPr>
          <w:b/>
        </w:rPr>
        <w:t>--- END ---</w:t>
      </w:r>
    </w:p>
    <w:sectPr>
      <w:pgNumType w:start="1"/>
      <w:footerReference xmlns:r="http://schemas.openxmlformats.org/officeDocument/2006/relationships" r:id="R265aaf3472ef4d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1b2cc91c24188" /><Relationship Type="http://schemas.openxmlformats.org/officeDocument/2006/relationships/footer" Target="/word/footer.xml" Id="R265aaf3472ef4d60" /></Relationships>
</file>