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89de8e9f414f8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Jinkins, Harris, Cody, Tharinger, Stonier, Slatter, Clibborn, Macri, Riccelli, Robinson, Valdez, Appleton, and Johnson)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delineating charity care and notice requirements without restricting charity care; amending RCW 70.170.020 and 70.170.060;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1995 c 269 s 2203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w:t>
      </w:r>
      <w:r>
        <w:t>((</w:t>
      </w:r>
      <w:r>
        <w:rPr>
          <w:strike/>
        </w:rPr>
        <w:t xml:space="preserve">(2)</w:t>
      </w:r>
      <w:r>
        <w:t>))</w:t>
      </w:r>
      <w:r>
        <w:rPr/>
        <w:t xml:space="preserve"> </w:t>
      </w:r>
      <w:r>
        <w:rPr>
          <w:u w:val="single"/>
        </w:rPr>
        <w:t xml:space="preserve">(7)</w:t>
      </w:r>
      <w:r>
        <w:rPr/>
        <w:t xml:space="preserve">; or as a psychiatric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w:t>
      </w:r>
      <w:r>
        <w:rPr>
          <w:u w:val="single"/>
        </w:rPr>
        <w:t xml:space="preserve">medically</w:t>
      </w:r>
      <w:r>
        <w:rPr/>
        <w:t xml:space="preserve"> necessary hospital health care rendered to indigent persons </w:t>
      </w:r>
      <w:r>
        <w:rPr>
          <w:u w:val="single"/>
        </w:rPr>
        <w:t xml:space="preserve">when third-party coverage, if any, has been exhausted</w:t>
      </w:r>
      <w:r>
        <w:rPr/>
        <w:t xml:space="preserve">,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w:t>
      </w:r>
      <w:r>
        <w:rPr>
          <w:u w:val="single"/>
        </w:rPr>
        <w:t xml:space="preserve">"Third-party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rPr>
          <w:u w:val="single"/>
        </w:rPr>
        <w:t xml:space="preserve">(6)</w:t>
      </w:r>
      <w:r>
        <w:rPr/>
        <w:t xml:space="preserve"> "Sliding fee schedule" means a hospital-determined, publicly available schedule of discounts to charges for persons deemed eligible for charity care; such schedules shall be established after consideration of guidelines developed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w:t>
      </w:r>
      <w:r>
        <w:t>((</w:t>
      </w:r>
      <w:r>
        <w:rPr>
          <w:strike/>
        </w:rPr>
        <w:t xml:space="preserve">provided that such persons are not eligible for other private or public health coverage sponsorship. Persons who may be eligible for charity care shall be notified by the hospital.</w:t>
      </w:r>
    </w:p>
    <w:p>
      <w:pPr>
        <w:spacing w:before="0" w:after="0" w:line="408" w:lineRule="exact"/>
        <w:ind w:left="0" w:right="0" w:firstLine="576"/>
        <w:jc w:val="left"/>
      </w:pPr>
      <w:r>
        <w:rPr>
          <w:strike/>
        </w:rPr>
        <w:t xml:space="preserve">(6)</w:t>
      </w:r>
      <w:r>
        <w:t>))</w:t>
      </w:r>
      <w:r>
        <w:rPr/>
        <w:t xml:space="preserve"> </w:t>
      </w:r>
      <w:r>
        <w:rPr>
          <w:u w:val="single"/>
        </w:rPr>
        <w:t xml:space="preserve">except to the extent the patient has third-party coverage for those charges.</w:t>
      </w:r>
    </w:p>
    <w:p>
      <w:pPr>
        <w:spacing w:before="0" w:after="0" w:line="408" w:lineRule="exact"/>
        <w:ind w:left="0" w:right="0" w:firstLine="576"/>
        <w:jc w:val="left"/>
      </w:pPr>
      <w:r>
        <w:rPr>
          <w:u w:val="single"/>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u w:val="single"/>
        </w:rPr>
        <w:t xml:space="preserve">(a) Areas where patients are admitted or registered;</w:t>
      </w:r>
    </w:p>
    <w:p>
      <w:pPr>
        <w:spacing w:before="0" w:after="0" w:line="408" w:lineRule="exact"/>
        <w:ind w:left="0" w:right="0" w:firstLine="576"/>
        <w:jc w:val="left"/>
      </w:pPr>
      <w:r>
        <w:rPr>
          <w:u w:val="single"/>
        </w:rPr>
        <w:t xml:space="preserve">(b) Emergency departments, if any; and</w:t>
      </w:r>
    </w:p>
    <w:p>
      <w:pPr>
        <w:spacing w:before="0" w:after="0" w:line="408" w:lineRule="exact"/>
        <w:ind w:left="0" w:right="0" w:firstLine="576"/>
        <w:jc w:val="left"/>
      </w:pPr>
      <w:r>
        <w:rPr>
          <w:u w:val="single"/>
        </w:rPr>
        <w:t xml:space="preserve">(c) Financial service or billing areas where accessible to patients.</w:t>
      </w:r>
    </w:p>
    <w:p>
      <w:pPr>
        <w:spacing w:before="0" w:after="0" w:line="408" w:lineRule="exact"/>
        <w:ind w:left="0" w:right="0" w:firstLine="576"/>
        <w:jc w:val="left"/>
      </w:pPr>
      <w:r>
        <w:rPr>
          <w:u w:val="single"/>
        </w:rPr>
        <w:t xml:space="preserve">(7) Current versions of the hospital's charity care policy, a plain language summary of the hospital's charity care policy, and the hospital's charity care application form must be available on the hospital's web site. The summary and application form must be available in all languages spoken by more than ten percent of the population of the hospital service area.</w:t>
      </w:r>
    </w:p>
    <w:p>
      <w:pPr>
        <w:spacing w:before="0" w:after="0" w:line="408" w:lineRule="exact"/>
        <w:ind w:left="0" w:right="0" w:firstLine="576"/>
        <w:jc w:val="left"/>
      </w:pPr>
      <w:r>
        <w:rPr>
          <w:u w:val="single"/>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u w:val="single"/>
        </w:rPr>
        <w:t xml:space="preserve">You may qualify for free care or a discount on your hospital bill, whether or not you have insurance. Please contact our financial assistance office at [web site] and [phone number].</w:t>
      </w:r>
    </w:p>
    <w:p>
      <w:pPr>
        <w:spacing w:before="0" w:after="0" w:line="408" w:lineRule="exact"/>
        <w:ind w:left="0" w:right="0" w:firstLine="576"/>
        <w:jc w:val="left"/>
      </w:pPr>
      <w:r>
        <w:rPr>
          <w:u w:val="single"/>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u w:val="single"/>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u w:val="single"/>
        </w:rPr>
        <w:t xml:space="preserve">(10)</w:t>
      </w:r>
      <w:r>
        <w:rPr/>
        <w:t xml:space="preserve"> Each hospital shall make every reasonable effort to determine</w:t>
      </w:r>
      <w:r>
        <w:rPr>
          <w:u w:val="single"/>
        </w:rPr>
        <w:t xml:space="preserve">:</w:t>
      </w:r>
    </w:p>
    <w:p>
      <w:pPr>
        <w:spacing w:before="0" w:after="0" w:line="408" w:lineRule="exact"/>
        <w:ind w:left="0" w:right="0" w:firstLine="576"/>
        <w:jc w:val="left"/>
      </w:pPr>
      <w:r>
        <w:rPr>
          <w:u w:val="single"/>
        </w:rPr>
        <w:t xml:space="preserve">(a) T</w:t>
      </w:r>
      <w:r>
        <w:rPr/>
        <w:t xml:space="preserve">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u w:val="single"/>
        </w:rPr>
        <w:t xml:space="preserve">(b) T</w:t>
      </w:r>
      <w:r>
        <w:rPr/>
        <w:t xml:space="preserve">he </w:t>
      </w:r>
      <w:r>
        <w:rPr>
          <w:u w:val="single"/>
        </w:rPr>
        <w:t xml:space="preserve">annual</w:t>
      </w:r>
      <w:r>
        <w:rPr/>
        <w:t xml:space="preserve"> family income of the patient as classified under federal poverty income guidelines </w:t>
      </w:r>
      <w:r>
        <w:rPr>
          <w:u w:val="single"/>
        </w:rPr>
        <w:t xml:space="preserve">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w:t>
      </w:r>
      <w:r>
        <w:rPr/>
        <w:t xml:space="preserve">; and</w:t>
      </w:r>
    </w:p>
    <w:p>
      <w:pPr>
        <w:spacing w:before="0" w:after="0" w:line="408" w:lineRule="exact"/>
        <w:ind w:left="0" w:right="0" w:firstLine="576"/>
        <w:jc w:val="left"/>
      </w:pPr>
      <w:r>
        <w:rPr>
          <w:u w:val="single"/>
        </w:rPr>
        <w:t xml:space="preserve">(c) T</w:t>
      </w:r>
      <w:r>
        <w:rPr/>
        <w:t xml:space="preserve">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u w:val="single"/>
        </w:rPr>
        <w:t xml:space="preserve">(12)</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acdde935294f47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9a99a8758d4af2" /><Relationship Type="http://schemas.openxmlformats.org/officeDocument/2006/relationships/footer" Target="/word/footer.xml" Id="Racdde935294f4796" /></Relationships>
</file>