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9c1e2c31894d46" /></Relationships>
</file>

<file path=word/document.xml><?xml version="1.0" encoding="utf-8"?>
<w:document xmlns:w="http://schemas.openxmlformats.org/wordprocessingml/2006/main">
  <w:body>
    <w:p>
      <w:r>
        <w:t>H-3525.3</w:t>
      </w:r>
    </w:p>
    <w:p>
      <w:pPr>
        <w:jc w:val="center"/>
      </w:pPr>
      <w:r>
        <w:t>_______________________________________________</w:t>
      </w:r>
    </w:p>
    <w:p/>
    <w:p>
      <w:pPr>
        <w:jc w:val="center"/>
      </w:pPr>
      <w:r>
        <w:rPr>
          <w:b/>
        </w:rPr>
        <w:t>HOUSE BILL 2904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McBride and Appleton</w:t>
      </w:r>
    </w:p>
    <w:p/>
    <w:p>
      <w:r>
        <w:rPr>
          <w:t xml:space="preserve">Read first time 01/23/18.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criteria for local designation of residential targeted areas for new and rehabilitated multiple-unit dwellings; amending RCW 84.14.010 and 84.14.040;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2018 (sections 2 and 3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to provide tax relief for certain businesses or individuals, as indicated in RCW 82.32.808(2) (a) and (e).</w:t>
      </w:r>
    </w:p>
    <w:p>
      <w:pPr>
        <w:spacing w:before="0" w:after="0" w:line="408" w:lineRule="exact"/>
        <w:ind w:left="0" w:right="0" w:firstLine="576"/>
        <w:jc w:val="left"/>
      </w:pPr>
      <w:r>
        <w:rPr/>
        <w:t xml:space="preserve">(3) It is the legislature's specific public policy objective to create an incentive for multifamily development and affordable housing in urban areas. It is the legislature's intent to allow local jurisdictions to exempt multifamily housing that incorporates a viable mix of incomes in residential populations, in order to reduce sprawl and achieve the goals of chapter 36.70A RCW.</w:t>
      </w:r>
    </w:p>
    <w:p>
      <w:pPr>
        <w:spacing w:before="0" w:after="0" w:line="408" w:lineRule="exact"/>
        <w:ind w:left="0" w:right="0" w:firstLine="576"/>
        <w:jc w:val="left"/>
      </w:pPr>
      <w:r>
        <w:rPr/>
        <w:t xml:space="preserve">(4) If a review finds that the creation of the tax preferences in this act have resulted in increased multifamily housing that incorporates a mixtures of incomes, then the legislature intends to make the tax preferences permanent.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 related to permitting, housing data from the office of financial management, and affordable housing information from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p>
    <w:p>
      <w:pPr>
        <w:spacing w:before="0" w:after="0" w:line="408" w:lineRule="exact"/>
        <w:ind w:left="0" w:right="0" w:firstLine="576"/>
        <w:jc w:val="left"/>
      </w:pPr>
      <w:r>
        <w:rPr/>
        <w:t xml:space="preserve">(4) "County" means a county with an unincorporated population of at least </w:t>
      </w:r>
      <w:r>
        <w:t>((</w:t>
      </w:r>
      <w:r>
        <w:rPr>
          <w:strike/>
        </w:rPr>
        <w:t xml:space="preserve">three hundred fifty</w:t>
      </w:r>
      <w:r>
        <w:t>))</w:t>
      </w:r>
      <w:r>
        <w:rPr/>
        <w:t xml:space="preserve"> </w:t>
      </w:r>
      <w:r>
        <w:rPr>
          <w:u w:val="single"/>
        </w:rPr>
        <w:t xml:space="preserve">one hundred seventy</w:t>
      </w:r>
      <w:r>
        <w:rPr/>
        <w:t xml:space="preserve"> thousand.</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w:t>
      </w:r>
      <w:r>
        <w:t>((</w:t>
      </w:r>
      <w:r>
        <w:rPr>
          <w:strike/>
        </w:rPr>
        <w:t xml:space="preserve">and the area must be: (i) In a rural county, served by a sewer system and designated by a county prior to January 1, 2013;</w:t>
      </w:r>
      <w:r>
        <w:t>))</w:t>
      </w:r>
      <w:r>
        <w:rPr/>
        <w:t xml:space="preserve"> or </w:t>
      </w:r>
      <w:r>
        <w:t>((</w:t>
      </w:r>
      <w:r>
        <w:rPr>
          <w:strike/>
        </w:rPr>
        <w:t xml:space="preserve">(ii)</w:t>
      </w:r>
      <w:r>
        <w:t>))</w:t>
      </w:r>
      <w:r>
        <w:rPr/>
        <w:t xml:space="preserve"> in a county that includes a campus of an institution of higher education, as defined in RCW 28B.92.030, where at least one thousand two hundred students live on campus during the academic year. </w:t>
      </w:r>
      <w:r>
        <w:rPr>
          <w:u w:val="single"/>
        </w:rPr>
        <w:t xml:space="preserve">If located in a rural county, the area must be served by a sewer system and designated by a county prior to January 1, 2013.</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2029.</w:t>
      </w:r>
    </w:p>
    <w:p/>
    <w:p>
      <w:pPr>
        <w:jc w:val="center"/>
      </w:pPr>
      <w:r>
        <w:rPr>
          <w:b/>
        </w:rPr>
        <w:t>--- END ---</w:t>
      </w:r>
    </w:p>
    <w:sectPr>
      <w:pgNumType w:start="1"/>
      <w:footerReference xmlns:r="http://schemas.openxmlformats.org/officeDocument/2006/relationships" r:id="R0aab67d2569043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fd2ac1b412454a" /><Relationship Type="http://schemas.openxmlformats.org/officeDocument/2006/relationships/footer" Target="/word/footer.xml" Id="R0aab67d2569043a9" /></Relationships>
</file>