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29cf6cc08949b6" /></Relationships>
</file>

<file path=word/document.xml><?xml version="1.0" encoding="utf-8"?>
<w:document xmlns:w="http://schemas.openxmlformats.org/wordprocessingml/2006/main">
  <w:body>
    <w:p>
      <w:r>
        <w:t>H-4072.2</w:t>
      </w:r>
    </w:p>
    <w:p>
      <w:pPr>
        <w:jc w:val="center"/>
      </w:pPr>
      <w:r>
        <w:t>_______________________________________________</w:t>
      </w:r>
    </w:p>
    <w:p/>
    <w:p>
      <w:pPr>
        <w:jc w:val="center"/>
      </w:pPr>
      <w:r>
        <w:rPr>
          <w:b/>
        </w:rPr>
        <w:t>HOUSE BILL 2906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McDonald, Johnson, and Muri</w:t>
      </w:r>
    </w:p>
    <w:p/>
    <w:p>
      <w:r>
        <w:rPr>
          <w:t xml:space="preserve">Read first time 01/23/18.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of a surviving spouse for the property tax exemption for senior citizens and disabled persons; amending RCW 84.36.385 and 84.69.020; adding a new section to chapter 84.36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tax relief to senior citizens, disabled persons, and veterans whose income is reduced due to the death of the person's spouse.</w:t>
      </w:r>
    </w:p>
    <w:p>
      <w:pPr>
        <w:spacing w:before="0" w:after="0" w:line="408" w:lineRule="exact"/>
        <w:ind w:left="0" w:right="0" w:firstLine="576"/>
        <w:jc w:val="left"/>
      </w:pPr>
      <w:r>
        <w:rPr/>
        <w:t xml:space="preserve">(4) If a review finds that this tax preference meets the objective in subsection (3) of this section, then the legislature intends to extend the expiration date of this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Beginning with property taxes payable in 2018, if the income of a person claiming an exemption under RCW 84.36.381 is reduced for less than two months of the assessment year by reason of the death of the person's spouse or the person's domestic partner, the person may claim an exemption within one year of the death of the spouse or domestic partner.</w:t>
      </w:r>
    </w:p>
    <w:p>
      <w:pPr>
        <w:spacing w:before="0" w:after="0" w:line="408" w:lineRule="exact"/>
        <w:ind w:left="0" w:right="0" w:firstLine="576"/>
        <w:jc w:val="left"/>
      </w:pPr>
      <w:r>
        <w:rPr/>
        <w:t xml:space="preserve">(2) A claim for exemption must include documentation confirming the income reduction.</w:t>
      </w:r>
    </w:p>
    <w:p>
      <w:pPr>
        <w:spacing w:before="0" w:after="0" w:line="408" w:lineRule="exact"/>
        <w:ind w:left="0" w:right="0" w:firstLine="576"/>
        <w:jc w:val="left"/>
      </w:pPr>
      <w:r>
        <w:rPr/>
        <w:t xml:space="preserve">(3) This section expires December 31,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w:t>
      </w:r>
      <w:r>
        <w:rPr>
          <w:u w:val="single"/>
        </w:rPr>
        <w:t xml:space="preserve">,</w:t>
      </w:r>
      <w:r>
        <w:rPr/>
        <w:t xml:space="preserve"> as now or hereafter amended, </w:t>
      </w:r>
      <w:r>
        <w:t>((</w:t>
      </w:r>
      <w:r>
        <w:rPr>
          <w:strike/>
        </w:rPr>
        <w:t xml:space="preserve">may</w:t>
      </w:r>
      <w:r>
        <w:t>))</w:t>
      </w:r>
      <w:r>
        <w:rPr/>
        <w:t xml:space="preserve"> </w:t>
      </w:r>
      <w:r>
        <w:rPr>
          <w:u w:val="single"/>
        </w:rPr>
        <w:t xml:space="preserve">must</w:t>
      </w:r>
      <w:r>
        <w:rPr/>
        <w:t xml:space="preserve"> be made and filed </w:t>
      </w:r>
      <w:r>
        <w:t>((</w:t>
      </w:r>
      <w:r>
        <w:rPr>
          <w:strike/>
        </w:rPr>
        <w:t xml:space="preserve">at any time during the year for exemption from taxes payable the following year and thereafter and</w:t>
      </w:r>
      <w:r>
        <w:t>))</w:t>
      </w:r>
      <w:r>
        <w:rPr/>
        <w:t xml:space="preserve">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2017 3rd sp.s. c 13 s 310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must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 Paid prior to a person being granted an exemption under RCW 84.36.381 if the person qualified under section 2 of this act;</w:t>
      </w:r>
    </w:p>
    <w:p>
      <w:pPr>
        <w:spacing w:before="0" w:after="0" w:line="408" w:lineRule="exact"/>
        <w:ind w:left="0" w:right="0" w:firstLine="576"/>
        <w:jc w:val="left"/>
      </w:pPr>
      <w:r>
        <w:rPr>
          <w:u w:val="single"/>
        </w:rPr>
        <w:t xml:space="preserve">(i)</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(j)</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Paid on the basis of an assessed valuation which was appealed to the state board of tax appeals and ordered reduced by the board</w:t>
      </w:r>
      <w:r>
        <w:t>((</w:t>
      </w:r>
      <w:r>
        <w:rPr>
          <w:strike/>
        </w:rPr>
        <w:t xml:space="preserve">: PROVIDED, That</w:t>
      </w:r>
      <w:r>
        <w:t>))</w:t>
      </w:r>
      <w:r>
        <w:rPr>
          <w:u w:val="single"/>
        </w:rPr>
        <w:t xml:space="preserve">. However,</w:t>
      </w:r>
      <w:r>
        <w:rPr/>
        <w:t xml:space="preserve"> the amount refunded under </w:t>
      </w:r>
      <w:r>
        <w:t>((</w:t>
      </w:r>
      <w:r>
        <w:rPr>
          <w:strike/>
        </w:rPr>
        <w:t xml:space="preserve">subsections (9) and (10)</w:t>
      </w:r>
      <w:r>
        <w:t>))</w:t>
      </w:r>
      <w:r>
        <w:rPr/>
        <w:t xml:space="preserve"> </w:t>
      </w:r>
      <w:r>
        <w:rPr>
          <w:u w:val="single"/>
        </w:rPr>
        <w:t xml:space="preserve">(j) and (k)</w:t>
      </w:r>
      <w:r>
        <w:rPr/>
        <w:t xml:space="preserve"> of this </w:t>
      </w:r>
      <w:r>
        <w:t>((</w:t>
      </w:r>
      <w:r>
        <w:rPr>
          <w:strike/>
        </w:rPr>
        <w:t xml:space="preserve">section shall</w:t>
      </w:r>
      <w:r>
        <w:t>))</w:t>
      </w:r>
      <w:r>
        <w:rPr/>
        <w:t xml:space="preserve"> </w:t>
      </w:r>
      <w:r>
        <w:rPr>
          <w:u w:val="single"/>
        </w:rPr>
        <w:t xml:space="preserve">subsection (1) may</w:t>
      </w:r>
      <w:r>
        <w:rPr/>
        <w:t xml:space="preserve"> only be for the difference between the tax paid on the basis of the appealed valuation and the tax payable on the valuation adjusted in accordance with the board's order;</w:t>
      </w:r>
    </w:p>
    <w:p>
      <w:pPr>
        <w:spacing w:before="0" w:after="0" w:line="408" w:lineRule="exact"/>
        <w:ind w:left="0" w:right="0" w:firstLine="576"/>
        <w:jc w:val="left"/>
      </w:pPr>
      <w:r>
        <w:t>((</w:t>
      </w:r>
      <w:r>
        <w:rPr>
          <w:strike/>
        </w:rPr>
        <w:t xml:space="preserve">(11)</w:t>
      </w:r>
      <w:r>
        <w:t>))</w:t>
      </w:r>
      <w:r>
        <w:rPr/>
        <w:t xml:space="preserve"> </w:t>
      </w:r>
      <w:r>
        <w:rPr>
          <w:u w:val="single"/>
        </w:rPr>
        <w:t xml:space="preserve">(l)</w:t>
      </w:r>
      <w:r>
        <w:rPr/>
        <w:t xml:space="preserve"> Paid as a state property tax levied upon property, the assessed value of which has been established by the state board of tax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(m)</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(n)</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(o)</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(p)</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(q)</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w:t>
      </w:r>
      <w:r>
        <w:t>((</w:t>
      </w:r>
      <w:r>
        <w:rPr>
          <w:strike/>
        </w:rPr>
        <w:t xml:space="preserve">subsections (9), (10), (11), and (12) of this section</w:t>
      </w:r>
      <w:r>
        <w:t>))</w:t>
      </w:r>
      <w:r>
        <w:rPr/>
        <w:t xml:space="preserve"> </w:t>
      </w:r>
      <w:r>
        <w:rPr>
          <w:u w:val="single"/>
        </w:rPr>
        <w:t xml:space="preserve">subsection (1)(j) through (m) of this section</w:t>
      </w:r>
      <w:r>
        <w:rPr/>
        <w:t xml:space="preserve"> nor may any refunds be made if a bona fide purchaser has acquired rights that would preclude the assessment and collection of the refunded tax from the property that should properly have been charged with the tax. Any refunds made on delinquent taxes must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(1)(i)</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levies, refunds of the state's levies including interest on the levies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must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expire December 31, 2026.</w:t>
      </w:r>
    </w:p>
    <w:p/>
    <w:p>
      <w:pPr>
        <w:jc w:val="center"/>
      </w:pPr>
      <w:r>
        <w:rPr>
          <w:b/>
        </w:rPr>
        <w:t>--- END ---</w:t>
      </w:r>
    </w:p>
    <w:sectPr>
      <w:pgNumType w:start="1"/>
      <w:footerReference xmlns:r="http://schemas.openxmlformats.org/officeDocument/2006/relationships" r:id="R4dfa1bf0f98d4b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fe0f31d33c415b" /><Relationship Type="http://schemas.openxmlformats.org/officeDocument/2006/relationships/footer" Target="/word/footer.xml" Id="R4dfa1bf0f98d4b6c" /></Relationships>
</file>