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59cd61b45f4e60" /></Relationships>
</file>

<file path=word/document.xml><?xml version="1.0" encoding="utf-8"?>
<w:document xmlns:w="http://schemas.openxmlformats.org/wordprocessingml/2006/main">
  <w:body>
    <w:p>
      <w:r>
        <w:t>H-3637.1</w:t>
      </w:r>
    </w:p>
    <w:p>
      <w:pPr>
        <w:jc w:val="center"/>
      </w:pPr>
      <w:r>
        <w:t>_______________________________________________</w:t>
      </w:r>
    </w:p>
    <w:p/>
    <w:p>
      <w:pPr>
        <w:jc w:val="center"/>
      </w:pPr>
      <w:r>
        <w:rPr>
          <w:b/>
        </w:rPr>
        <w:t>HOUSE BILL 2939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Graves and Rodne</w:t>
      </w:r>
    </w:p>
    <w:p/>
    <w:p>
      <w:r>
        <w:rPr>
          <w:t xml:space="preserve">Read first time 01/26/18.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 models; amending RCW 19.27.060, 35.63.080, 35A.63.100, and 36.70.750;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w:t>
      </w:r>
      <w:r>
        <w:rPr>
          <w:u w:val="single"/>
        </w:rPr>
        <w:t xml:space="preserve">The legislative body of a county or city, in exercising the authority provided under subsection (1) of this section to amend the code enumerated in RCW 19.27.031(1)(b), may not adopt amendments that regulate or restrict a park model, as defined in RCW 59.20.030, placed on private land zoned for residential use, unless the regulation is necessary for a fire, life safety, or environmental purpose.</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may not enact any statute or ordinance that has the effect, directly or indirectly, of restricting the siting of a park model, as defined in RCW 59.20.030, on private land zoned for residential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w:t>
      </w:r>
      <w:r>
        <w:rPr/>
        <w:t xml:space="preserve"> The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Except as provided in subsection (2) of this section,</w:t>
      </w:r>
      <w:r>
        <w:rPr/>
        <w:t xml:space="preserve"> the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and </w:t>
      </w:r>
      <w:r>
        <w:t>((</w:t>
      </w:r>
      <w:r>
        <w:rPr>
          <w:strike/>
        </w:rPr>
        <w:t xml:space="preserve">may</w:t>
      </w:r>
      <w:r>
        <w:t>))</w:t>
      </w:r>
    </w:p>
    <w:p>
      <w:pPr>
        <w:spacing w:before="0" w:after="0" w:line="408" w:lineRule="exact"/>
        <w:ind w:left="0" w:right="0" w:firstLine="576"/>
        <w:jc w:val="left"/>
      </w:pPr>
      <w:r>
        <w:rPr>
          <w:u w:val="single"/>
        </w:rPr>
        <w:t xml:space="preserve">(b) E</w:t>
      </w:r>
      <w:r>
        <w:rPr/>
        <w:t xml:space="preserve">ncourage and protect access to direct sunlight for solar energy systems. </w:t>
      </w:r>
      <w:r>
        <w:t>((</w:t>
      </w:r>
      <w:r>
        <w:rPr>
          <w:strike/>
        </w:rPr>
        <w:t xml:space="preserve">A</w:t>
      </w:r>
      <w:r>
        <w:t>))</w:t>
      </w:r>
    </w:p>
    <w:p>
      <w:pPr>
        <w:spacing w:before="0" w:after="0" w:line="408" w:lineRule="exact"/>
        <w:ind w:left="0" w:right="0" w:firstLine="576"/>
        <w:jc w:val="left"/>
      </w:pPr>
      <w:r>
        <w:rPr>
          <w:u w:val="single"/>
        </w:rPr>
        <w:t xml:space="preserve">(2) The council or board may not regulate or restrict the park model, as defined in RCW 59.20.030, dwellings placed on private land zoned for residential use unless necessary for fire, life safety, or environmental purpose.</w:t>
      </w:r>
    </w:p>
    <w:p>
      <w:pPr>
        <w:spacing w:before="0" w:after="0" w:line="408" w:lineRule="exact"/>
        <w:ind w:left="0" w:right="0" w:firstLine="576"/>
        <w:jc w:val="left"/>
      </w:pPr>
      <w:r>
        <w:rPr>
          <w:u w:val="single"/>
        </w:rPr>
        <w:t xml:space="preserve">(3)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not enact any statute or ordinance that has the effect, directly or indirectly, of restricting the siting of a park model, as defined in RCW 59.20.030, on private land zoned for residential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w:t>
      </w:r>
      <w:r>
        <w:rPr/>
        <w:t xml:space="preserve"> Dividing the municipality, or portions thereof, into appropriate zones within which specific standards, requirements, and conditions may be provided for regulating</w:t>
      </w:r>
      <w:r>
        <w:rPr>
          <w:u w:val="single"/>
        </w:rPr>
        <w:t xml:space="preserve">:</w:t>
      </w:r>
    </w:p>
    <w:p>
      <w:pPr>
        <w:spacing w:before="0" w:after="0" w:line="408" w:lineRule="exact"/>
        <w:ind w:left="0" w:right="0" w:firstLine="576"/>
        <w:jc w:val="left"/>
      </w:pPr>
      <w:r>
        <w:rPr>
          <w:u w:val="single"/>
        </w:rPr>
        <w:t xml:space="preserve">T</w:t>
      </w:r>
      <w:r>
        <w:rPr/>
        <w:t xml:space="preserve">he use of public and private land, buildings, and structures</w:t>
      </w:r>
      <w:r>
        <w:t>((</w:t>
      </w:r>
      <w:r>
        <w:rPr>
          <w:strike/>
        </w:rPr>
        <w:t xml:space="preserve">, and</w:t>
      </w:r>
      <w:r>
        <w:t>))</w:t>
      </w:r>
      <w:r>
        <w:rPr>
          <w:u w:val="single"/>
        </w:rPr>
        <w:t xml:space="preserve">; except as provided in (b) of this subsection,</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t>((</w:t>
      </w:r>
      <w:r>
        <w:rPr>
          <w:strike/>
        </w:rPr>
        <w:t xml:space="preserve">,</w:t>
      </w:r>
      <w:r>
        <w:t>))</w:t>
      </w:r>
      <w:r>
        <w:rPr>
          <w:u w:val="single"/>
        </w:rPr>
        <w:t xml:space="preserve">;</w:t>
      </w:r>
      <w:r>
        <w:rPr/>
        <w:t xml:space="preserve"> density of population</w:t>
      </w:r>
      <w:r>
        <w:t>((</w:t>
      </w:r>
      <w:r>
        <w:rPr>
          <w:strike/>
        </w:rPr>
        <w:t xml:space="preserve">,</w:t>
      </w:r>
      <w:r>
        <w:t>))</w:t>
      </w:r>
      <w:r>
        <w:rPr>
          <w:u w:val="single"/>
        </w:rPr>
        <w:t xml:space="preserve">;</w:t>
      </w:r>
      <w:r>
        <w:rPr/>
        <w:t xml:space="preserve"> ratio of land area to the area of buildings and structures</w:t>
      </w:r>
      <w:r>
        <w:t>((</w:t>
      </w:r>
      <w:r>
        <w:rPr>
          <w:strike/>
        </w:rPr>
        <w:t xml:space="preserve">,</w:t>
      </w:r>
      <w:r>
        <w:t>))</w:t>
      </w:r>
      <w:r>
        <w:rPr>
          <w:u w:val="single"/>
        </w:rPr>
        <w:t xml:space="preserve">;</w:t>
      </w:r>
      <w:r>
        <w:rPr/>
        <w:t xml:space="preserve"> setbacks</w:t>
      </w:r>
      <w:r>
        <w:t>((</w:t>
      </w:r>
      <w:r>
        <w:rPr>
          <w:strike/>
        </w:rPr>
        <w:t xml:space="preserve">,</w:t>
      </w:r>
      <w:r>
        <w:t>))</w:t>
      </w:r>
      <w:r>
        <w:rPr>
          <w:u w:val="single"/>
        </w:rPr>
        <w:t xml:space="preserve">;</w:t>
      </w:r>
      <w:r>
        <w:rPr/>
        <w:t xml:space="preserve"> area required for off-street parking</w:t>
      </w:r>
      <w:r>
        <w:t>((</w:t>
      </w:r>
      <w:r>
        <w:rPr>
          <w:strike/>
        </w:rPr>
        <w:t xml:space="preserve">,</w:t>
      </w:r>
      <w:r>
        <w:t>))</w:t>
      </w:r>
      <w:r>
        <w:rPr>
          <w:u w:val="single"/>
        </w:rPr>
        <w:t xml:space="preserve">;</w:t>
      </w:r>
      <w:r>
        <w:rPr/>
        <w:t xml:space="preserve"> protection of access to direct sunlight for solar energy systems</w:t>
      </w:r>
      <w:r>
        <w:t>((</w:t>
      </w:r>
      <w:r>
        <w:rPr>
          <w:strike/>
        </w:rPr>
        <w:t xml:space="preserve">,</w:t>
      </w:r>
      <w:r>
        <w:t>))</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(b) The legislative body of a city may not regulate or restrict a park model, as defined in RCW 59.20.030, placed on private land zoned for residential use, unless the regulation is necessary for a fire, life safety, or environmental purpose.</w:t>
      </w:r>
    </w:p>
    <w:p>
      <w:pPr>
        <w:spacing w:before="0" w:after="0" w:line="408" w:lineRule="exact"/>
        <w:ind w:left="0" w:right="0" w:firstLine="576"/>
        <w:jc w:val="left"/>
      </w:pPr>
      <w:r>
        <w:rPr>
          <w:u w:val="single"/>
        </w:rPr>
        <w:t xml:space="preserve">(c)</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not enact any statute or ordinance that has the effect, directly or indirectly, of restricting the siting of a park model, as defined in RCW 59.20.030, on private land zoned for residential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36.70.750 are each amended to read as follows:</w:t>
      </w:r>
    </w:p>
    <w:p>
      <w:pPr>
        <w:spacing w:before="0" w:after="0" w:line="408" w:lineRule="exact"/>
        <w:ind w:left="0" w:right="0" w:firstLine="576"/>
        <w:jc w:val="left"/>
      </w:pPr>
      <w:r>
        <w:rPr>
          <w:u w:val="single"/>
        </w:rPr>
        <w:t xml:space="preserve">Except for a park model, as defined in RCW 59.20.030, placed on private land zoned for residential use, a</w:t>
      </w:r>
      <w:r>
        <w:rPr/>
        <w:t xml:space="preserve">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t xml:space="preserve"> </w:t>
      </w:r>
      <w:r>
        <w:rPr>
          <w:u w:val="single"/>
        </w:rPr>
        <w:t xml:space="preserve">T</w:t>
      </w:r>
      <w:r>
        <w:rPr/>
        <w:t xml:space="preserve">he use of buildings, structures, and land as between agriculture, industry, business, residence, and other purposes; </w:t>
      </w:r>
      <w:r>
        <w:rPr>
          <w:u w:val="single"/>
        </w:rPr>
        <w:t xml:space="preserve">and</w:t>
      </w:r>
    </w:p>
    <w:p>
      <w:pPr>
        <w:spacing w:before="0" w:after="0" w:line="408" w:lineRule="exact"/>
        <w:ind w:left="0" w:right="0" w:firstLine="576"/>
        <w:jc w:val="left"/>
      </w:pPr>
      <w:r>
        <w:rPr/>
        <w:t xml:space="preserve">(2) </w:t>
      </w:r>
      <w:r>
        <w:t>((</w:t>
      </w:r>
      <w:r>
        <w:rPr>
          <w:strike/>
        </w:rPr>
        <w:t xml:space="preserve">Regulate</w:t>
      </w:r>
      <w:r>
        <w:t>))</w:t>
      </w:r>
      <w:r>
        <w:rPr/>
        <w:t xml:space="preserve"> </w:t>
      </w:r>
      <w:r>
        <w:rPr>
          <w:u w:val="single"/>
        </w:rPr>
        <w:t xml:space="preserve">The</w:t>
      </w:r>
      <w:r>
        <w:rPr/>
        <w:t xml:space="preserve"> location, height, bulk, number of stories and size of buildings and structures; the size of yards, courts, and other open spaces; the density of population; the percentage of a lot which may be occupied by buildings and structures; and the area required to provide off-street facilities for the parking of motor vehicles.</w:t>
      </w:r>
    </w:p>
    <w:p/>
    <w:p>
      <w:pPr>
        <w:jc w:val="center"/>
      </w:pPr>
      <w:r>
        <w:rPr>
          <w:b/>
        </w:rPr>
        <w:t>--- END ---</w:t>
      </w:r>
    </w:p>
    <w:sectPr>
      <w:pgNumType w:start="1"/>
      <w:footerReference xmlns:r="http://schemas.openxmlformats.org/officeDocument/2006/relationships" r:id="R8a53f3e642eb42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6aac7cbf64ff7" /><Relationship Type="http://schemas.openxmlformats.org/officeDocument/2006/relationships/footer" Target="/word/footer.xml" Id="R8a53f3e642eb42b8" /></Relationships>
</file>