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27c584dab4880" /></Relationships>
</file>

<file path=word/document.xml><?xml version="1.0" encoding="utf-8"?>
<w:document xmlns:w="http://schemas.openxmlformats.org/wordprocessingml/2006/main">
  <w:body>
    <w:p>
      <w:r>
        <w:t>H-4230.1</w:t>
      </w:r>
    </w:p>
    <w:p>
      <w:pPr>
        <w:jc w:val="center"/>
      </w:pPr>
      <w:r>
        <w:t>_______________________________________________</w:t>
      </w:r>
    </w:p>
    <w:p/>
    <w:p>
      <w:pPr>
        <w:jc w:val="center"/>
      </w:pPr>
      <w:r>
        <w:rPr>
          <w:b/>
        </w:rPr>
        <w:t>HOUSE BILL 2941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Stambaugh, Sawyer, Tharinger, Frame, and Kraft</w:t>
      </w:r>
    </w:p>
    <w:p/>
    <w:p>
      <w:r>
        <w:rPr>
          <w:t xml:space="preserve">Read first time 01/26/18.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to ethics boards licensing agreements for public use of certain state resources produced by state agencies; amending RCW 42.52.320 and 42.52.360; reenacting and amending RCW 42.52.010; adding a new section to chapter 42.52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and executive ethics boards hold an important role of protecting the direct and proper use of state resources. When agencies enter into contractual agreements with entities outside of the legislative and executive branches, state resources become subject to contractual terms that interrupt the jurisdiction of the ethics boards and may jeopardize state resources. To protect the use of state resources, the ethics boards must be informed when contractual agreements are entered. The legislature acknowledges that the legislative ethics board has determined the creation of state resources at public expense does not determine a violation of the ethics in public service act. Rather, it is the use to which the materials are put which determines whether the statute had been violated. Therefore, the legislature recognizes the importance of the placement of state resources and finds contractual agreements may alter direct protection of state resources and the efficacy of the ethics in public service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42.52 RCW to read as follows:</w:t>
      </w:r>
    </w:p>
    <w:p>
      <w:pPr>
        <w:spacing w:before="0" w:after="0" w:line="408" w:lineRule="exact"/>
        <w:ind w:left="0" w:right="0" w:firstLine="576"/>
        <w:jc w:val="left"/>
      </w:pPr>
      <w:r>
        <w:rPr/>
        <w:t xml:space="preserve"> Any agency, as defined in RCW 42.52.010, within the legislative or executive branches that enters into a contract to grant a license to any person, as defined in RCW 42.52.010, to allow any type of indirect use of state resources, as defined in RCW 42.52.010, shall submit a copy of any such contract to:</w:t>
      </w:r>
    </w:p>
    <w:p>
      <w:pPr>
        <w:spacing w:before="0" w:after="0" w:line="408" w:lineRule="exact"/>
        <w:ind w:left="0" w:right="0" w:firstLine="576"/>
        <w:jc w:val="left"/>
      </w:pPr>
      <w:r>
        <w:rPr/>
        <w:t xml:space="preserve">(1) The legislative ethics board for agencies within the legislative branch; or</w:t>
      </w:r>
    </w:p>
    <w:p>
      <w:pPr>
        <w:spacing w:before="0" w:after="0" w:line="408" w:lineRule="exact"/>
        <w:ind w:left="0" w:right="0" w:firstLine="576"/>
        <w:jc w:val="left"/>
      </w:pPr>
      <w:r>
        <w:rPr/>
        <w:t xml:space="preserve">(2) The executive ethics board for agencies within the executive branch.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advisory opinions;</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w:t>
      </w:r>
      <w:r>
        <w:t>((</w:t>
      </w:r>
      <w:r>
        <w:rPr>
          <w:strike/>
        </w:rPr>
        <w:t xml:space="preserve">and</w:t>
      </w:r>
      <w:r>
        <w:t>))</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 </w:t>
      </w:r>
      <w:r>
        <w:rPr>
          <w:u w:val="single"/>
        </w:rPr>
        <w:t xml:space="preserve">and</w:t>
      </w:r>
    </w:p>
    <w:p>
      <w:pPr>
        <w:spacing w:before="0" w:after="0" w:line="408" w:lineRule="exact"/>
        <w:ind w:left="0" w:right="0" w:firstLine="576"/>
        <w:jc w:val="left"/>
      </w:pPr>
      <w:r>
        <w:rPr>
          <w:u w:val="single"/>
        </w:rPr>
        <w:t xml:space="preserve">(h) Receive copies of contracts that establish indirect use of state materials and information submitted by agencies as required in section 2 of this act; but shall not take any enforcement actions available under this chapter based on such indirect use of state resources</w:t>
      </w:r>
      <w:r>
        <w:rPr/>
        <w:t xml:space="preserve">.</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Subject to RCW 42.52.540, the board has jurisdiction over any alleged violation that occurred before January 1, 1995, and that was within the jurisdiction of any of the boards established under chapter 44.60 RCW. The board's jurisdiction with respect to any such alleged violation shall be based on the statutes and rules in effect at </w:t>
      </w:r>
      <w:r>
        <w:t>((</w:t>
      </w:r>
      <w:r>
        <w:rPr>
          <w:strike/>
        </w:rPr>
        <w:t xml:space="preserve">[the]</w:t>
      </w:r>
      <w:r>
        <w:t>))</w:t>
      </w:r>
      <w:r>
        <w:rPr/>
        <w:t xml:space="preserve"> </w:t>
      </w:r>
      <w:r>
        <w:rPr>
          <w:u w:val="single"/>
        </w:rPr>
        <w:t xml:space="preserve">the</w:t>
      </w:r>
      <w:r>
        <w:rPr/>
        <w:t xml:space="preserve"> time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university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university research employees while assuring that such employees are fulfilling their employment obligations to the university.</w:t>
      </w:r>
    </w:p>
    <w:p>
      <w:pPr>
        <w:spacing w:before="0" w:after="0" w:line="408" w:lineRule="exact"/>
        <w:ind w:left="0" w:right="0" w:firstLine="576"/>
        <w:jc w:val="left"/>
      </w:pPr>
      <w:r>
        <w:rPr/>
        <w:t xml:space="preserve">(c) With respect to compliance with RCW 42.52.160, the administrative process shall include a reasonable determination by the university of acceptable private uses having de minimis costs to the university and a method for establishing fair and reasonable reimbursement charges for private uses the costs of which are in excess of de minimis.</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w:t>
      </w:r>
      <w:r>
        <w:t>((</w:t>
      </w:r>
      <w:r>
        <w:rPr>
          <w:strike/>
        </w:rPr>
        <w:t xml:space="preserve">and</w:t>
      </w:r>
      <w:r>
        <w:t>))</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r>
        <w:rPr>
          <w:u w:val="single"/>
        </w:rPr>
        <w:t xml:space="preserve">; and</w:t>
      </w:r>
    </w:p>
    <w:p>
      <w:pPr>
        <w:spacing w:before="0" w:after="0" w:line="408" w:lineRule="exact"/>
        <w:ind w:left="0" w:right="0" w:firstLine="576"/>
        <w:jc w:val="left"/>
      </w:pPr>
      <w:r>
        <w:rPr>
          <w:u w:val="single"/>
        </w:rPr>
        <w:t xml:space="preserve">(h) Receive copies of contracts that establish indirect use of state materials and information submitted by agencies as required in section 2 of this act; but shall not take any enforcement actions available under this chapter based on such indirect use of state resources</w:t>
      </w:r>
      <w:r>
        <w:rPr/>
        <w:t xml:space="preserve">.</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w:t>
      </w:r>
      <w:r>
        <w:rPr>
          <w:u w:val="single"/>
        </w:rPr>
        <w:t xml:space="preserve">"Indirect use of state resources" means materials or information properly created by an agency at public expense that have been contractually released by an agency for public use of the materials or information.</w:t>
      </w:r>
    </w:p>
    <w:p>
      <w:pPr>
        <w:spacing w:before="0" w:after="0" w:line="408" w:lineRule="exact"/>
        <w:ind w:left="0" w:right="0" w:firstLine="576"/>
        <w:jc w:val="left"/>
      </w:pPr>
      <w:r>
        <w:rPr>
          <w:u w:val="single"/>
        </w:rPr>
        <w:t xml:space="preserve">(13)</w:t>
      </w:r>
      <w:r>
        <w:rPr/>
        <w:t xml:space="preserve">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partnership, association, corporation, firm, institution, or other entity, whether or not operated for profit.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NumType w:start="1"/>
      <w:footerReference xmlns:r="http://schemas.openxmlformats.org/officeDocument/2006/relationships" r:id="Re3ee2136a16a42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e6575960d4ecb" /><Relationship Type="http://schemas.openxmlformats.org/officeDocument/2006/relationships/footer" Target="/word/footer.xml" Id="Re3ee2136a16a42f1" /></Relationships>
</file>