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ff001d1cf446f" /></Relationships>
</file>

<file path=word/document.xml><?xml version="1.0" encoding="utf-8"?>
<w:document xmlns:w="http://schemas.openxmlformats.org/wordprocessingml/2006/main">
  <w:body>
    <w:p>
      <w:r>
        <w:t>H-4492.1</w:t>
      </w:r>
    </w:p>
    <w:p>
      <w:pPr>
        <w:jc w:val="center"/>
      </w:pPr>
      <w:r>
        <w:t>_______________________________________________</w:t>
      </w:r>
    </w:p>
    <w:p/>
    <w:p>
      <w:pPr>
        <w:jc w:val="center"/>
      </w:pPr>
      <w:r>
        <w:rPr>
          <w:b/>
        </w:rPr>
        <w:t>SUBSTITUTE HOUSE BILL 2942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Walsh, Taylor, Van Werven, and Shea)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for the availability of mineral resources; and amending RCW 36.70A.020 and 36.70A.131.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w:t>
      </w:r>
      <w:r>
        <w:t>((</w:t>
      </w:r>
      <w:r>
        <w:rPr>
          <w:strike/>
        </w:rPr>
        <w:t xml:space="preserve">and</w:t>
      </w:r>
      <w:r>
        <w:t>))</w:t>
      </w:r>
      <w:r>
        <w:rPr/>
        <w:t xml:space="preserve"> fisheries</w:t>
      </w:r>
      <w:r>
        <w:rPr>
          <w:u w:val="single"/>
        </w:rPr>
        <w:t xml:space="preserve">, and mineral resource</w:t>
      </w:r>
      <w:r>
        <w:rPr/>
        <w:t xml:space="preserve"> industries. Encourage the conservation of productive forestlands </w:t>
      </w:r>
      <w:r>
        <w:t>((</w:t>
      </w:r>
      <w:r>
        <w:rPr>
          <w:strike/>
        </w:rPr>
        <w:t xml:space="preserve">and productive</w:t>
      </w:r>
      <w:r>
        <w:t>))</w:t>
      </w:r>
      <w:r>
        <w:rPr>
          <w:u w:val="single"/>
        </w:rPr>
        <w:t xml:space="preserve">,</w:t>
      </w:r>
      <w:r>
        <w:rPr/>
        <w:t xml:space="preserve"> agricultural lands, </w:t>
      </w:r>
      <w:r>
        <w:rPr>
          <w:u w:val="single"/>
        </w:rPr>
        <w:t xml:space="preserve">and mineral resource lands,</w:t>
      </w:r>
      <w:r>
        <w:rPr/>
        <w:t xml:space="preserve">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131</w:t>
      </w:r>
      <w:r>
        <w:rPr/>
        <w:t xml:space="preserve"> and 1998 c 286 s 7 are each amended to read as follows:</w:t>
      </w:r>
    </w:p>
    <w:p>
      <w:pPr>
        <w:spacing w:before="0" w:after="0" w:line="408" w:lineRule="exact"/>
        <w:ind w:left="0" w:right="0" w:firstLine="576"/>
        <w:jc w:val="left"/>
      </w:pPr>
      <w:r>
        <w:rPr>
          <w:u w:val="single"/>
        </w:rPr>
        <w:t xml:space="preserve">(1)</w:t>
      </w:r>
      <w:r>
        <w:rPr/>
        <w:t xml:space="preserve"> As part of the review required by RCW 36.70A.130(1), a county or city shall review its mineral resource lands designations adopted pursuant to RCW 36.70A.170 and mineral resource lands development regulations adopted pursuant to RCW 36.70A.040 and 36.70A.060. In its review, the county or city shall take into consideration: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New information made available since the adoption or last review of its designations or development regulations, including data available from the department of natural resources relating to mineral resource deposits;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New or modified model development regulations for mineral resource lands prepared by the department of natural resources, the department of </w:t>
      </w:r>
      <w:r>
        <w:t>((</w:t>
      </w:r>
      <w:r>
        <w:rPr>
          <w:strike/>
        </w:rPr>
        <w:t xml:space="preserve">community, trade, and economic development</w:t>
      </w:r>
      <w:r>
        <w:t>))</w:t>
      </w:r>
      <w:r>
        <w:rPr/>
        <w:t xml:space="preserve"> </w:t>
      </w:r>
      <w:r>
        <w:rPr>
          <w:u w:val="single"/>
        </w:rPr>
        <w:t xml:space="preserve">commerce</w:t>
      </w:r>
      <w:r>
        <w:rPr/>
        <w:t xml:space="preserve">, or the Washington state association of counties.</w:t>
      </w:r>
    </w:p>
    <w:p>
      <w:pPr>
        <w:spacing w:before="0" w:after="0" w:line="408" w:lineRule="exact"/>
        <w:ind w:left="0" w:right="0" w:firstLine="576"/>
        <w:jc w:val="left"/>
      </w:pPr>
      <w:r>
        <w:rPr>
          <w:u w:val="single"/>
        </w:rPr>
        <w:t xml:space="preserve">(2)(a) In order to protect mineral resource lands from incompatible uses and to maintain the long-term commercial viability of mineral resource extraction, each county and city must designate as mineral resource lands all lands without residential development that have long-term significance for the extraction of minerals. Mineral resource lands of long-term significance that were previously designated as agricultural lands or forestlands are not required to be redesignated, but must also receive an overlapping designation as mineral resource lands. A county or city may not designate as mineral resource lands pursuant to this subsection (2) lands that have already been designated as agricultural lands unless the county or city first determines that the overlapping mineral resource lands designation will not have a substantial adverse impact on the agricultural lands.</w:t>
      </w:r>
    </w:p>
    <w:p>
      <w:pPr>
        <w:spacing w:before="0" w:after="0" w:line="408" w:lineRule="exact"/>
        <w:ind w:left="0" w:right="0" w:firstLine="576"/>
        <w:jc w:val="left"/>
      </w:pPr>
      <w:r>
        <w:rPr>
          <w:u w:val="single"/>
        </w:rPr>
        <w:t xml:space="preserve">(b) In making designations consistent with (a) of this subsection, a county or city must consider information submitted in subsection (1)(a) and (b) of this section, as well as other relevant information known to the county or city regarding the locations of mineral resource lands of long-term significance.</w:t>
      </w:r>
    </w:p>
    <w:p>
      <w:pPr>
        <w:spacing w:before="0" w:after="0" w:line="408" w:lineRule="exact"/>
        <w:ind w:left="0" w:right="0" w:firstLine="576"/>
        <w:jc w:val="left"/>
      </w:pPr>
      <w:r>
        <w:rPr>
          <w:u w:val="single"/>
        </w:rPr>
        <w:t xml:space="preserve">(c) The requirement to designate mineral resource lands of long-term significance consistent with (a) of this subsection must not be limited, made contingent upon, or deferred by population growth projections or mineral resource supply or demand forecasts, including twenty-year supply threshold market analyses.</w:t>
      </w:r>
    </w:p>
    <w:p>
      <w:pPr>
        <w:spacing w:before="0" w:after="0" w:line="408" w:lineRule="exact"/>
        <w:ind w:left="0" w:right="0" w:firstLine="576"/>
        <w:jc w:val="left"/>
      </w:pPr>
      <w:r>
        <w:rPr>
          <w:u w:val="single"/>
        </w:rPr>
        <w:t xml:space="preserve">(d) Nothing in this chapter limits or restricts the obligation or authority of a county or city to require site-specific permits for the development of designated mineral resource lands.</w:t>
      </w:r>
    </w:p>
    <w:p/>
    <w:p>
      <w:pPr>
        <w:jc w:val="center"/>
      </w:pPr>
      <w:r>
        <w:rPr>
          <w:b/>
        </w:rPr>
        <w:t>--- END ---</w:t>
      </w:r>
    </w:p>
    <w:sectPr>
      <w:pgNumType w:start="1"/>
      <w:footerReference xmlns:r="http://schemas.openxmlformats.org/officeDocument/2006/relationships" r:id="Re819379bc1dd42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6b16ba9f734209" /><Relationship Type="http://schemas.openxmlformats.org/officeDocument/2006/relationships/footer" Target="/word/footer.xml" Id="Re819379bc1dd42f7" /></Relationships>
</file>