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14b8bf57b146f5" /></Relationships>
</file>

<file path=word/document.xml><?xml version="1.0" encoding="utf-8"?>
<w:document xmlns:w="http://schemas.openxmlformats.org/wordprocessingml/2006/main">
  <w:body>
    <w:p>
      <w:r>
        <w:t>H-4280.1</w:t>
      </w:r>
    </w:p>
    <w:p>
      <w:pPr>
        <w:jc w:val="center"/>
      </w:pPr>
      <w:r>
        <w:t>_______________________________________________</w:t>
      </w:r>
    </w:p>
    <w:p/>
    <w:p>
      <w:pPr>
        <w:jc w:val="center"/>
      </w:pPr>
      <w:r>
        <w:rPr>
          <w:b/>
        </w:rPr>
        <w:t>HOUSE BILL 2966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Irwin, Barkis, Graves, Young, Wilcox, Stambaugh, Walsh, Maycumber, Kraft, Muri, Griffey, Manweller, Johnson, and McDonald</w:t>
      </w:r>
    </w:p>
    <w:p/>
    <w:p>
      <w:r>
        <w:rPr>
          <w:t xml:space="preserve">Read first time 01/30/18.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special allegation and sentencing enhancement for wearing body armor during the commission of any violent offense; amending RCW 9.94A.030, 9.94A.533, and 9.94A.729; and adding a new section to chapter 9.94A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In any criminal case where the defendant has been convicted of any violent offense and there has been a special allegation pleaded and proven beyond a reasonable doubt that the defendant or an accomplice was wearing body armor as defined in RCW 9.94A.030 at the time of the commission of the offense, the court shall make a finding of fact of the special allegation, or if a jury trial is had, the jury shall, if it finds the defendant guilty, also find a special verdict as to the special allegation.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2016 c 81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0" w:after="0" w:line="408" w:lineRule="exact"/>
        <w:ind w:left="0" w:right="0" w:firstLine="576"/>
        <w:jc w:val="left"/>
      </w:pPr>
      <w:r>
        <w:rPr>
          <w:u w:val="single"/>
        </w:rPr>
        <w:t xml:space="preserve">(59) "Body armor" means any clothing or devices designed primarily to prevent penetration by a projectile fired from a firearm or by a knife, sword, or other cutting or stabbing instrument, and which is worn by an individual for that specific purpose in the commission of an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2016 c 203 s 7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0" w:after="0" w:line="408" w:lineRule="exact"/>
        <w:ind w:left="0" w:right="0" w:firstLine="576"/>
        <w:jc w:val="left"/>
      </w:pPr>
      <w:r>
        <w:rPr>
          <w:u w:val="single"/>
        </w:rPr>
        <w:t xml:space="preserve">(15) An additional twelve months shall be added to the standard range for a conviction of a violent offense committed on or after the effective date of this section, if the conviction included a finding by special allegation of wearing body armor under section 1 of this act. All enhancements under this subsection are mandatory, shall be served in total confinement, and shall run consecutively to all other sentencing provisions, including other enhancements under this subsection, for all offenses sentenced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w:t>
      </w:r>
      <w:r>
        <w:rPr>
          <w:u w:val="single"/>
        </w:rPr>
        <w:t xml:space="preserve">(a)</w:t>
      </w:r>
      <w:r>
        <w:rPr/>
        <w:t xml:space="preserve">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u w:val="single"/>
        </w:rPr>
        <w:t xml:space="preserve">(b) An offender who has been convicted of a felony committed on or after the effective date of this section, that involves any applicable body armor enhancements under RCW 9.94A.533(15), may not receive any good time credits or earned release time for the portion of his or her sentence that results from those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
      <w:pPr>
        <w:jc w:val="center"/>
      </w:pPr>
      <w:r>
        <w:rPr>
          <w:b/>
        </w:rPr>
        <w:t>--- END ---</w:t>
      </w:r>
    </w:p>
    <w:sectPr>
      <w:pgNumType w:start="1"/>
      <w:footerReference xmlns:r="http://schemas.openxmlformats.org/officeDocument/2006/relationships" r:id="Rc2cbc281248a48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51fa1f7ff544c1" /><Relationship Type="http://schemas.openxmlformats.org/officeDocument/2006/relationships/footer" Target="/word/footer.xml" Id="Rc2cbc281248a4803" /></Relationships>
</file>