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45c5814c04d85" /></Relationships>
</file>

<file path=word/document.xml><?xml version="1.0" encoding="utf-8"?>
<w:document xmlns:w="http://schemas.openxmlformats.org/wordprocessingml/2006/main">
  <w:body>
    <w:p>
      <w:r>
        <w:t>H-4313.1</w:t>
      </w:r>
    </w:p>
    <w:p>
      <w:pPr>
        <w:jc w:val="center"/>
      </w:pPr>
      <w:r>
        <w:t>_______________________________________________</w:t>
      </w:r>
    </w:p>
    <w:p/>
    <w:p>
      <w:pPr>
        <w:jc w:val="center"/>
      </w:pPr>
      <w:r>
        <w:rPr>
          <w:b/>
        </w:rPr>
        <w:t>HOUSE BILL 2968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Irwin, Johnson, McDonald, and Muri</w:t>
      </w:r>
    </w:p>
    <w:p/>
    <w:p>
      <w:r>
        <w:rPr>
          <w:t xml:space="preserve">Read first time 01/30/18.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armor; amending RCW 9.94A.030 and 9.94A.533; adding a new section to chapter 9.94A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during the commission of crimes some criminals wear body armor which presents an enhanced degree of danger for the public and especially law enforcement because it may significantly reduce their ability to use deadly force to eliminate the threat posed by the criminal. The legislature finds that a recent example of the threat to public safety posed by body armor when possessed by criminals in the commission of a crime resulted in the events leading to the death of Deputy Daniel Alexander McCartney.</w:t>
      </w:r>
    </w:p>
    <w:p>
      <w:pPr>
        <w:spacing w:before="0" w:after="0" w:line="408" w:lineRule="exact"/>
        <w:ind w:left="0" w:right="0" w:firstLine="576"/>
        <w:jc w:val="left"/>
      </w:pPr>
      <w:r>
        <w:rPr/>
        <w:t xml:space="preserve">Deputy McCartney served the citizens of the state as a law enforcement officer for nine years, three of which were with the Pierce county sheriff's department. On January 8, 2018, he responded to a 911 call at night regarding a burglary. According to media reports, Deputy McCartney heroically chased two suspects and exchanged fire in a gun battle with at least one suspect armed with body armor. Deputy McCartney was able to hit the suspect with body armor five times before the suspect was killed at the scene. Any one of the five shots fired by Deputy McCartney may have proved lethal had they not been deflected by the suspect's body armor. Tragically, Deputy McCartney succumbed to injuries he sustained at the scene. The legislature finds that greater penalties are necessary in order to deter the use of body armor in the commission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"Deputy Daniel McCartney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(59) "Body armor" means any clothing or device designed primarily to prevent penetration by a projectile fired from a firearm or by a knife, sword, or other cutting or stabbing instrument, and which is worn by an individual for that specific purpose in the commission of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w:t>
      </w:r>
      <w:r>
        <w:t>((</w:t>
      </w:r>
      <w:r>
        <w:rPr>
          <w:strike/>
        </w:rPr>
        <w:t xml:space="preserve">(f)</w:t>
      </w:r>
      <w:r>
        <w:t>))</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w:t>
      </w:r>
      <w:r>
        <w:t>((</w:t>
      </w:r>
      <w:r>
        <w:rPr>
          <w:strike/>
        </w:rPr>
        <w:t xml:space="preserve">(f)</w:t>
      </w:r>
      <w:r>
        <w:t>))</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w:t>
      </w:r>
      <w:r>
        <w:t>((</w:t>
      </w:r>
      <w:r>
        <w:rPr>
          <w:strike/>
        </w:rPr>
        <w:t xml:space="preserve">(f)</w:t>
      </w:r>
      <w:r>
        <w:t>))</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rPr>
          <w:u w:val="single"/>
        </w:rPr>
        <w:t xml:space="preserve">If the offender is being sentenced for any firearm enhancements under (a), (b), and/or (c) of this subsection and the offender or an accomplice of the offender was in possession of body armor at the time of the offense, all firearm enhancements under this subsection shall be twice the amount of the enhancement listed or a minimum of five years, whichever is greater;</w:t>
      </w:r>
    </w:p>
    <w:p>
      <w:pPr>
        <w:spacing w:before="0" w:after="0" w:line="408" w:lineRule="exact"/>
        <w:ind w:left="0" w:right="0" w:firstLine="576"/>
        <w:jc w:val="left"/>
      </w:pPr>
      <w:r>
        <w:rPr>
          <w:u w:val="single"/>
        </w:rPr>
        <w:t xml:space="preserve">(f)</w:t>
      </w:r>
      <w:r>
        <w:rPr/>
        <w:t xml:space="preserv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w:t>
      </w:r>
      <w:r>
        <w:rPr>
          <w:u w:val="single"/>
        </w:rPr>
        <w:t xml:space="preserve">or the offender or an accomplice was in possession of body armor at the time of the offense,</w:t>
      </w:r>
      <w:r>
        <w:rPr/>
        <w:t xml:space="preserve">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 criminal case wherein there has been a special allegation and evidence establishing that the accused or an accomplice was armed with a firearm as defined in RCW 9.41.010 or deadly weapon and the offender or an accomplice was in possession of body armor as defined in RCW 9.94A.030 at the time of the commission of the crime, the court shall make a finding of fact of whether or not the accused or an accomplice was armed with a firearm or deadly weapon and in possession of body armor at the time of the commission of the crime, or if a jury trial is had, the jury shall, if it finds the defendant guilty, also find a special verdict as to whether or not the defendant or an accomplice was armed with a firearm or deadly weapon and in possession of body armor at the time of the commission of the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NumType w:start="1"/>
      <w:footerReference xmlns:r="http://schemas.openxmlformats.org/officeDocument/2006/relationships" r:id="R8c80d09d238e45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a76eaa440b432d" /><Relationship Type="http://schemas.openxmlformats.org/officeDocument/2006/relationships/footer" Target="/word/footer.xml" Id="R8c80d09d238e457d" /></Relationships>
</file>