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01c315ca1e4a38" /></Relationships>
</file>

<file path=word/document.xml><?xml version="1.0" encoding="utf-8"?>
<w:document xmlns:w="http://schemas.openxmlformats.org/wordprocessingml/2006/main">
  <w:body>
    <w:p>
      <w:r>
        <w:t>H-4921.1</w:t>
      </w:r>
    </w:p>
    <w:p>
      <w:pPr>
        <w:jc w:val="center"/>
      </w:pPr>
      <w:r>
        <w:t>_______________________________________________</w:t>
      </w:r>
    </w:p>
    <w:p/>
    <w:p>
      <w:pPr>
        <w:jc w:val="center"/>
      </w:pPr>
      <w:r>
        <w:rPr>
          <w:b/>
        </w:rPr>
        <w:t>HOUSE BILL 2998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Robinson, Cody, Jinkins, Tharinger, and Ormsby</w:t>
      </w:r>
    </w:p>
    <w:p/>
    <w:p>
      <w:r>
        <w:rPr>
          <w:t xml:space="preserve">Read first time 02/23/18.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accountable communities of health; adding a new section to chapter 82.04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organization designated by the health care authority under RCW 41.05.800 as a community of health with respect to amounts received from local governments, the state of Washington, or the federal government.</w:t>
      </w:r>
    </w:p>
    <w:p>
      <w:pPr>
        <w:spacing w:before="0" w:after="0" w:line="408" w:lineRule="exact"/>
        <w:ind w:left="0" w:right="0" w:firstLine="576"/>
        <w:jc w:val="left"/>
      </w:pPr>
      <w:r>
        <w:rPr/>
        <w:t xml:space="preserve">(2) The exemption provided in subsection (1) of this section applies only to the community of health and not to any individual or organization participating in, or receiving funds from, the community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prospectively only to amounts received by a community of health on or after the effective date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f8bdc53439a41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1bc2bc7754214" /><Relationship Type="http://schemas.openxmlformats.org/officeDocument/2006/relationships/footer" Target="/word/footer.xml" Id="R5f8bdc53439a4141" /></Relationships>
</file>