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643881e94cf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1071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16,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1071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1071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Kirby and Vick</w:t>
      </w:r>
    </w:p>
    <w:p/>
    <w:p>
      <w:r>
        <w:rPr>
          <w:t xml:space="preserve">Prefiled 01/06/17.</w:t>
        </w:rPr>
      </w:r>
      <w:r>
        <w:rPr>
          <w:t xml:space="preserve">Read first time 01/09/17.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an expiration date for legislation enacted in 2015 regarding pawnbroker fees and interest rates; and repealing 2015 c 294 s 2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2015 c 294 s 2</w:t>
      </w:r>
      <w:r>
        <w:rPr/>
        <w:t xml:space="preserve"> (uncodified) is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097ef439a674ae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1071.PL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87b58fcf247bb" /><Relationship Type="http://schemas.openxmlformats.org/officeDocument/2006/relationships/footer" Target="/word/footer.xml" Id="R4097ef439a674aec" /></Relationships>
</file>