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38230f00440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1163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Hayes, Orwall, Appleton, Klippert, Pellicciotti, Pettigrew, Chapman, Kilduff, Bergquist, Stanford, and Kloba)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and 43.43.830; reenacting and amending RCW 9.94A.411, 9.96.060, and 9.94A.515; adding a new section to chapter 7.36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Except as provided in (b) of this subsection, n</w:t>
      </w:r>
      <w:r>
        <w:rPr/>
        <w:t xml:space="preserve">othing in this section affects or prevents the use of an offender's prior conviction in a later criminal prosecution.</w:t>
      </w:r>
    </w:p>
    <w:p>
      <w:pPr>
        <w:spacing w:before="0" w:after="0" w:line="408" w:lineRule="exact"/>
        <w:ind w:left="0" w:right="0" w:firstLine="576"/>
        <w:jc w:val="left"/>
      </w:pPr>
      <w:r>
        <w:rPr>
          <w:u w:val="single"/>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cd4f9d70313847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60a0311414d7b" /><Relationship Type="http://schemas.openxmlformats.org/officeDocument/2006/relationships/footer" Target="/word/footer.xml" Id="Rcd4f9d70313847c8" /></Relationships>
</file>